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CB3F7">
      <w:pPr>
        <w:keepNext w:val="0"/>
        <w:keepLines w:val="0"/>
        <w:pageBreakBefore w:val="0"/>
        <w:widowControl w:val="0"/>
        <w:kinsoku/>
        <w:wordWrap/>
        <w:overflowPunct/>
        <w:topLinePunct w:val="0"/>
        <w:bidi w:val="0"/>
        <w:jc w:val="both"/>
        <w:textAlignment w:val="auto"/>
        <w:rPr>
          <w:rFonts w:hint="default" w:eastAsia="黑体" w:cs="黑体" w:asciiTheme="minorAscii" w:hAnsiTheme="minorAscii"/>
          <w:sz w:val="24"/>
          <w:szCs w:val="24"/>
          <w:lang w:val="en-US" w:eastAsia="zh-CN"/>
        </w:rPr>
      </w:pPr>
      <w:r>
        <w:rPr>
          <w:rFonts w:hint="default" w:eastAsia="黑体" w:cs="黑体" w:asciiTheme="minorAscii" w:hAnsiTheme="minorAscii"/>
          <w:sz w:val="24"/>
          <w:szCs w:val="24"/>
          <w:lang w:val="en-US" w:eastAsia="zh-CN"/>
        </w:rPr>
        <w:t>附件1：</w:t>
      </w:r>
    </w:p>
    <w:p w14:paraId="301C92B6">
      <w:pPr>
        <w:pStyle w:val="5"/>
        <w:keepNext w:val="0"/>
        <w:keepLines w:val="0"/>
        <w:pageBreakBefore w:val="0"/>
        <w:widowControl w:val="0"/>
        <w:kinsoku/>
        <w:wordWrap/>
        <w:overflowPunct/>
        <w:topLinePunct w:val="0"/>
        <w:bidi w:val="0"/>
        <w:adjustRightInd w:val="0"/>
        <w:snapToGrid w:val="0"/>
        <w:spacing w:line="360" w:lineRule="auto"/>
        <w:jc w:val="center"/>
        <w:textAlignment w:val="auto"/>
        <w:outlineLvl w:val="0"/>
        <w:rPr>
          <w:rFonts w:hint="default" w:asciiTheme="minorAscii" w:hAnsiTheme="minorAscii" w:eastAsiaTheme="minorEastAsia"/>
          <w:b/>
          <w:sz w:val="24"/>
        </w:rPr>
      </w:pPr>
      <w:r>
        <w:rPr>
          <w:rFonts w:hint="default" w:asciiTheme="minorAscii" w:hAnsiTheme="minorAscii" w:eastAsiaTheme="minorEastAsia"/>
          <w:b/>
          <w:sz w:val="24"/>
        </w:rPr>
        <w:t>教务系统功能参数</w:t>
      </w:r>
    </w:p>
    <w:p w14:paraId="4543AACF">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outlineLvl w:val="1"/>
        <w:rPr>
          <w:rFonts w:hint="default" w:asciiTheme="minorAscii" w:hAnsiTheme="minorAscii" w:eastAsiaTheme="minorEastAsia"/>
          <w:sz w:val="24"/>
        </w:rPr>
      </w:pPr>
      <w:r>
        <w:rPr>
          <w:rFonts w:hint="default" w:asciiTheme="minorAscii" w:hAnsiTheme="minorAscii" w:eastAsiaTheme="minorEastAsia"/>
          <w:sz w:val="24"/>
        </w:rPr>
        <w:t>1.基础资源</w:t>
      </w:r>
    </w:p>
    <w:p w14:paraId="280CFE66">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r>
        <w:rPr>
          <w:rFonts w:hint="default" w:asciiTheme="minorAscii" w:hAnsiTheme="minorAscii" w:eastAsiaTheme="minorEastAsia"/>
          <w:sz w:val="24"/>
        </w:rPr>
        <w:t>(1)基本信息</w:t>
      </w:r>
    </w:p>
    <w:p w14:paraId="5386409A">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包括学校、校区、校历信息；支持相应信息日常管理与维护(含录入、修改、删除)；被引用信息的代码必须标注为红色且不允许删除，部分字段信息不允许修改。</w:t>
      </w:r>
    </w:p>
    <w:p w14:paraId="014EB92A">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r>
        <w:rPr>
          <w:rFonts w:hint="default" w:asciiTheme="minorAscii" w:hAnsiTheme="minorAscii" w:eastAsiaTheme="minorEastAsia"/>
          <w:sz w:val="24"/>
        </w:rPr>
        <w:t>(2)教学场地信息</w:t>
      </w:r>
    </w:p>
    <w:p w14:paraId="02EEEC0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cs="宋体" w:asciiTheme="minorAscii" w:hAnsiTheme="minorAscii" w:eastAsiaTheme="minorEastAsia"/>
          <w:bCs/>
          <w:caps/>
          <w:sz w:val="24"/>
        </w:rPr>
      </w:pPr>
      <w:r>
        <w:rPr>
          <w:rFonts w:hint="default" w:cs="宋体" w:asciiTheme="minorAscii" w:hAnsiTheme="minorAscii" w:eastAsiaTheme="minorEastAsia"/>
          <w:bCs/>
          <w:caps/>
          <w:sz w:val="24"/>
        </w:rPr>
        <w:t>主要包括实习基地信息、教室、体育场馆。</w:t>
      </w:r>
    </w:p>
    <w:p w14:paraId="5F66DC30">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教学场地数据通过导入和录入两种方式进行数据管理。</w:t>
      </w:r>
    </w:p>
    <w:p w14:paraId="4EDF1555">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教学场地按照场地类型分为：教室/实验室/体育场馆。对于类型为教室的教学场地，可以根据学校要求设置为一般教室、多媒体教室、计算机房、琴房等。</w:t>
      </w:r>
    </w:p>
    <w:p w14:paraId="04B268AB">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outlineLvl w:val="1"/>
        <w:rPr>
          <w:rFonts w:hint="default" w:asciiTheme="minorAscii" w:hAnsiTheme="minorAscii" w:eastAsiaTheme="minorEastAsia"/>
          <w:sz w:val="24"/>
        </w:rPr>
      </w:pPr>
      <w:r>
        <w:rPr>
          <w:rFonts w:hint="default" w:asciiTheme="minorAscii" w:hAnsiTheme="minorAscii" w:eastAsiaTheme="minorEastAsia"/>
          <w:sz w:val="24"/>
        </w:rPr>
        <w:t>2.</w:t>
      </w:r>
      <w:r>
        <w:rPr>
          <w:rFonts w:hint="default" w:cs="宋体" w:asciiTheme="minorAscii" w:hAnsiTheme="minorAscii" w:eastAsiaTheme="minorEastAsia"/>
          <w:sz w:val="24"/>
        </w:rPr>
        <w:t>机构编制</w:t>
      </w:r>
    </w:p>
    <w:p w14:paraId="13F718EF">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bookmarkStart w:id="0" w:name="_Toc53867217"/>
      <w:r>
        <w:rPr>
          <w:rFonts w:hint="default" w:asciiTheme="minorAscii" w:hAnsiTheme="minorAscii" w:eastAsiaTheme="minorEastAsia"/>
          <w:sz w:val="24"/>
        </w:rPr>
        <w:t>(1)机构信息</w:t>
      </w:r>
      <w:bookmarkEnd w:id="0"/>
    </w:p>
    <w:p w14:paraId="630A533E">
      <w:pPr>
        <w:keepNext w:val="0"/>
        <w:keepLines w:val="0"/>
        <w:pageBreakBefore w:val="0"/>
        <w:widowControl w:val="0"/>
        <w:tabs>
          <w:tab w:val="left" w:pos="802"/>
          <w:tab w:val="left" w:pos="839"/>
        </w:tabs>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bCs/>
          <w:sz w:val="24"/>
          <w:lang w:bidi="ar-DZ"/>
        </w:rPr>
      </w:pPr>
      <w:r>
        <w:rPr>
          <w:rFonts w:hint="default" w:cs="宋体" w:asciiTheme="minorAscii" w:hAnsiTheme="minorAscii" w:eastAsiaTheme="minorEastAsia"/>
          <w:bCs/>
          <w:sz w:val="24"/>
          <w:lang w:bidi="ar-DZ"/>
        </w:rPr>
        <w:t>机构信息中主要涉及到机构设置、机构变更、查询机构情况，如查询机构编制、机构变更、机构信息变更；统计机构编制、机构变更、机构信息变更。</w:t>
      </w:r>
    </w:p>
    <w:p w14:paraId="30FF63F6">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bookmarkStart w:id="1" w:name="_Toc53867218"/>
      <w:r>
        <w:rPr>
          <w:rFonts w:hint="default" w:asciiTheme="minorAscii" w:hAnsiTheme="minorAscii" w:eastAsiaTheme="minorEastAsia"/>
          <w:sz w:val="24"/>
        </w:rPr>
        <w:t>(2)岗位信息</w:t>
      </w:r>
      <w:bookmarkEnd w:id="1"/>
    </w:p>
    <w:p w14:paraId="2D57670E">
      <w:pPr>
        <w:keepNext w:val="0"/>
        <w:keepLines w:val="0"/>
        <w:pageBreakBefore w:val="0"/>
        <w:widowControl w:val="0"/>
        <w:tabs>
          <w:tab w:val="left" w:pos="802"/>
          <w:tab w:val="left" w:pos="839"/>
        </w:tabs>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bCs/>
          <w:sz w:val="24"/>
          <w:lang w:bidi="ar-DZ"/>
        </w:rPr>
      </w:pPr>
      <w:r>
        <w:rPr>
          <w:rFonts w:hint="default" w:cs="宋体" w:asciiTheme="minorAscii" w:hAnsiTheme="minorAscii" w:eastAsiaTheme="minorEastAsia"/>
          <w:bCs/>
          <w:sz w:val="24"/>
        </w:rPr>
        <w:t>岗位信息中包含</w:t>
      </w:r>
      <w:r>
        <w:rPr>
          <w:rFonts w:hint="default" w:cs="宋体" w:asciiTheme="minorAscii" w:hAnsiTheme="minorAscii" w:eastAsiaTheme="minorEastAsia"/>
          <w:bCs/>
          <w:sz w:val="24"/>
          <w:lang w:bidi="ar-DZ"/>
        </w:rPr>
        <w:t>岗位的设置、变更及查询岗位设置、岗位变更、岗位信息变更；统计岗位设置、岗位变更、岗位信息变更。</w:t>
      </w:r>
    </w:p>
    <w:p w14:paraId="71AD4F8B">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outlineLvl w:val="1"/>
        <w:rPr>
          <w:rFonts w:hint="default" w:asciiTheme="minorAscii" w:hAnsiTheme="minorAscii" w:eastAsiaTheme="minorEastAsia"/>
          <w:sz w:val="24"/>
        </w:rPr>
      </w:pPr>
      <w:r>
        <w:rPr>
          <w:rFonts w:hint="default" w:asciiTheme="minorAscii" w:hAnsiTheme="minorAscii" w:eastAsiaTheme="minorEastAsia"/>
          <w:sz w:val="24"/>
        </w:rPr>
        <w:t>3.师资管理</w:t>
      </w:r>
    </w:p>
    <w:p w14:paraId="7D444484">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bCs/>
          <w:sz w:val="24"/>
        </w:rPr>
      </w:pPr>
      <w:r>
        <w:rPr>
          <w:rFonts w:hint="default" w:cs="宋体" w:asciiTheme="minorAscii" w:hAnsiTheme="minorAscii" w:eastAsiaTheme="minorEastAsia"/>
          <w:bCs/>
          <w:sz w:val="24"/>
        </w:rPr>
        <w:t>教职工划分为五大系列：教师，教辅人员，科研人员，行政管理人员，后勤服务人员。</w:t>
      </w:r>
    </w:p>
    <w:p w14:paraId="6F458FCB">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r>
        <w:rPr>
          <w:rFonts w:hint="default" w:asciiTheme="minorAscii" w:hAnsiTheme="minorAscii" w:eastAsiaTheme="minorEastAsia"/>
          <w:sz w:val="24"/>
        </w:rPr>
        <w:t>(1)基本信息</w:t>
      </w:r>
    </w:p>
    <w:p w14:paraId="09F6E321">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支持教职工(在职人员/离退休人员)基本信息录入/导入。</w:t>
      </w:r>
    </w:p>
    <w:p w14:paraId="5607CF14">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支持教职工相关信息的录入：包括家庭及社会关系、学习经历(学历/学位/进修)、工作经历(含兼职情况)、政治面貌与宗教信仰、担任职务(行政职务/技术职务)、职业技能、领域专家、获奖情况，并能够对职业技能、领域专家、获奖情况进行多级审核。</w:t>
      </w:r>
    </w:p>
    <w:p w14:paraId="7C2C67A3">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r>
        <w:rPr>
          <w:rFonts w:hint="default" w:asciiTheme="minorAscii" w:hAnsiTheme="minorAscii" w:eastAsiaTheme="minorEastAsia"/>
          <w:sz w:val="24"/>
        </w:rPr>
        <w:t>(2)异动管理</w:t>
      </w:r>
    </w:p>
    <w:p w14:paraId="2D8B5C02">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bCs/>
          <w:sz w:val="24"/>
        </w:rPr>
      </w:pPr>
      <w:r>
        <w:rPr>
          <w:rFonts w:hint="default" w:cs="宋体" w:asciiTheme="minorAscii" w:hAnsiTheme="minorAscii" w:eastAsiaTheme="minorEastAsia"/>
          <w:bCs/>
          <w:sz w:val="24"/>
        </w:rPr>
        <w:t>支持记录教职工异动信息(含调动、离退、离岗、离职)。</w:t>
      </w:r>
    </w:p>
    <w:p w14:paraId="7061890D">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r>
        <w:rPr>
          <w:rFonts w:hint="default" w:asciiTheme="minorAscii" w:hAnsiTheme="minorAscii" w:eastAsiaTheme="minorEastAsia"/>
          <w:sz w:val="24"/>
        </w:rPr>
        <w:t>(3)信息查询</w:t>
      </w:r>
    </w:p>
    <w:p w14:paraId="32E1BEA1">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bCs/>
          <w:sz w:val="24"/>
        </w:rPr>
      </w:pPr>
      <w:r>
        <w:rPr>
          <w:rFonts w:hint="default" w:cs="宋体" w:asciiTheme="minorAscii" w:hAnsiTheme="minorAscii" w:eastAsiaTheme="minorEastAsia"/>
          <w:bCs/>
          <w:sz w:val="24"/>
        </w:rPr>
        <w:t>支持多维度的信息查询，如教职工信息、教职工履历、教职工名册等。</w:t>
      </w:r>
    </w:p>
    <w:p w14:paraId="2D8FCCA3">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r>
        <w:rPr>
          <w:rFonts w:hint="default" w:asciiTheme="minorAscii" w:hAnsiTheme="minorAscii" w:eastAsiaTheme="minorEastAsia"/>
          <w:sz w:val="24"/>
        </w:rPr>
        <w:t>(4)统计分析</w:t>
      </w:r>
    </w:p>
    <w:p w14:paraId="5FD5C04F">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bCs/>
          <w:sz w:val="24"/>
        </w:rPr>
      </w:pPr>
      <w:r>
        <w:rPr>
          <w:rFonts w:hint="default" w:cs="宋体" w:asciiTheme="minorAscii" w:hAnsiTheme="minorAscii" w:eastAsiaTheme="minorEastAsia"/>
          <w:bCs/>
          <w:sz w:val="24"/>
        </w:rPr>
        <w:t>支持对教职工基本数据进行统计分析，包含教职工构成情况、教职工异动情况等</w:t>
      </w:r>
    </w:p>
    <w:p w14:paraId="65022B7F">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r>
        <w:rPr>
          <w:rFonts w:hint="default" w:asciiTheme="minorAscii" w:hAnsiTheme="minorAscii" w:eastAsiaTheme="minorEastAsia"/>
          <w:sz w:val="24"/>
        </w:rPr>
        <w:t>(5)考勤管理</w:t>
      </w:r>
    </w:p>
    <w:p w14:paraId="7B3B8968">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bCs/>
          <w:sz w:val="24"/>
        </w:rPr>
      </w:pPr>
      <w:r>
        <w:rPr>
          <w:rFonts w:hint="default" w:cs="宋体" w:asciiTheme="minorAscii" w:hAnsiTheme="minorAscii" w:eastAsiaTheme="minorEastAsia"/>
          <w:bCs/>
          <w:sz w:val="24"/>
        </w:rPr>
        <w:t>考勤签到，支持考勤的登记签到及导入出勤数据两种方式。</w:t>
      </w:r>
    </w:p>
    <w:p w14:paraId="42C5175C">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bCs/>
          <w:sz w:val="24"/>
        </w:rPr>
      </w:pPr>
      <w:r>
        <w:rPr>
          <w:rFonts w:hint="default" w:cs="宋体" w:asciiTheme="minorAscii" w:hAnsiTheme="minorAscii" w:eastAsiaTheme="minorEastAsia"/>
          <w:bCs/>
          <w:sz w:val="24"/>
        </w:rPr>
        <w:t>请假管理，支持自定义请假申请流程，如：申请请假、部门审核及学校审核等多级审核。</w:t>
      </w:r>
    </w:p>
    <w:p w14:paraId="26267C0E">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bCs/>
          <w:sz w:val="24"/>
        </w:rPr>
      </w:pPr>
      <w:r>
        <w:rPr>
          <w:rFonts w:hint="default" w:cs="宋体" w:asciiTheme="minorAscii" w:hAnsiTheme="minorAscii" w:eastAsiaTheme="minorEastAsia"/>
          <w:bCs/>
          <w:sz w:val="24"/>
        </w:rPr>
        <w:t>加班管理，支持自定义加班申请流程，如申请加班、学院审核、教务处审核等多级审核模式。</w:t>
      </w:r>
    </w:p>
    <w:p w14:paraId="0DF5E67E">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outlineLvl w:val="1"/>
        <w:rPr>
          <w:rFonts w:hint="default" w:asciiTheme="minorAscii" w:hAnsiTheme="minorAscii" w:eastAsiaTheme="minorEastAsia"/>
          <w:sz w:val="24"/>
        </w:rPr>
      </w:pPr>
      <w:r>
        <w:rPr>
          <w:rFonts w:hint="default" w:asciiTheme="minorAscii" w:hAnsiTheme="minorAscii" w:eastAsiaTheme="minorEastAsia"/>
          <w:sz w:val="24"/>
        </w:rPr>
        <w:t>4.学生学籍</w:t>
      </w:r>
    </w:p>
    <w:p w14:paraId="4AFB6FE9">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bCs/>
          <w:sz w:val="24"/>
        </w:rPr>
      </w:pPr>
      <w:r>
        <w:rPr>
          <w:rFonts w:hint="default" w:cs="宋体" w:asciiTheme="minorAscii" w:hAnsiTheme="minorAscii" w:eastAsiaTheme="minorEastAsia"/>
          <w:sz w:val="24"/>
        </w:rPr>
        <w:t>学生学籍指学生从入学到毕业学籍信息的详细记录，主要包括基本信息、注册信息、异动信息、专业分流、上报数据等。</w:t>
      </w:r>
    </w:p>
    <w:p w14:paraId="381A6167">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r>
        <w:rPr>
          <w:rFonts w:hint="default" w:asciiTheme="minorAscii" w:hAnsiTheme="minorAscii" w:eastAsiaTheme="minorEastAsia"/>
          <w:sz w:val="24"/>
        </w:rPr>
        <w:t>(1)学籍档案</w:t>
      </w:r>
    </w:p>
    <w:p w14:paraId="37BCA6ED">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批量导入及零散录入学生信息，创建学籍档案</w:t>
      </w:r>
    </w:p>
    <w:p w14:paraId="524F05C4">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设置学生增改个人信息时间区段及允许增改的信息，由学生网上增改个人信息</w:t>
      </w:r>
    </w:p>
    <w:p w14:paraId="6FAE3A8E">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批量修改学生档案信息</w:t>
      </w:r>
    </w:p>
    <w:p w14:paraId="496461EB">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打印学籍卡、学生名册、考试证</w:t>
      </w:r>
    </w:p>
    <w:p w14:paraId="188BEC44">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统计分析在校/在籍学生情况</w:t>
      </w:r>
    </w:p>
    <w:p w14:paraId="7B462A40">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r>
        <w:rPr>
          <w:rFonts w:hint="default" w:asciiTheme="minorAscii" w:hAnsiTheme="minorAscii" w:eastAsiaTheme="minorEastAsia"/>
          <w:sz w:val="24"/>
        </w:rPr>
        <w:t>(2)学期报到/注册</w:t>
      </w:r>
    </w:p>
    <w:p w14:paraId="4EB5B8B7">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学期报到：由各个系/部基于校园网办理学期报到，登记报到与不报到学生(记录不报到原因)。</w:t>
      </w:r>
    </w:p>
    <w:p w14:paraId="058DA954">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查看报到学生名册、查看未报到学生名册、统计学期报到情况。</w:t>
      </w:r>
    </w:p>
    <w:p w14:paraId="4A93004F">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学期注册：依据设定的注册规定(如不允许未报到学生注册、不允许欠费学生注册)，批量处理学期注册，对未注册学生的有关活动进行限制(如禁止选课、禁止考试、屏蔽成绩)；可根据需要对不能正常注册学生进行强制注册。</w:t>
      </w:r>
    </w:p>
    <w:p w14:paraId="6CF75638">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查看注册学生名册、查看未注册学生名册、统计分析学期注册情况。</w:t>
      </w:r>
    </w:p>
    <w:p w14:paraId="6816E894">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r>
        <w:rPr>
          <w:rFonts w:hint="default" w:asciiTheme="minorAscii" w:hAnsiTheme="minorAscii" w:eastAsiaTheme="minorEastAsia"/>
          <w:sz w:val="24"/>
        </w:rPr>
        <w:t>(3)学籍异动</w:t>
      </w:r>
    </w:p>
    <w:p w14:paraId="5428452B">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分异动类别设置异动规定</w:t>
      </w:r>
    </w:p>
    <w:p w14:paraId="57E5C95F">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为预计异动学生打印异动审批表</w:t>
      </w:r>
    </w:p>
    <w:p w14:paraId="6ED4E121">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确定异动学生，逐个处理学籍异动(包括自动更新学籍状态、打印异动通知单等)</w:t>
      </w:r>
    </w:p>
    <w:p w14:paraId="5CD3F0D1">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延长学生休学年限</w:t>
      </w:r>
    </w:p>
    <w:p w14:paraId="08AEA2A6">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统计分析学籍异动情况</w:t>
      </w:r>
    </w:p>
    <w:p w14:paraId="62DD57E3">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r>
        <w:rPr>
          <w:rFonts w:hint="default" w:asciiTheme="minorAscii" w:hAnsiTheme="minorAscii" w:eastAsiaTheme="minorEastAsia"/>
          <w:sz w:val="24"/>
        </w:rPr>
        <w:t>(4)专业分流</w:t>
      </w:r>
    </w:p>
    <w:p w14:paraId="1E7389A6">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bCs/>
          <w:sz w:val="24"/>
        </w:rPr>
      </w:pPr>
      <w:r>
        <w:rPr>
          <w:rFonts w:hint="default" w:cs="宋体" w:asciiTheme="minorAscii" w:hAnsiTheme="minorAscii" w:eastAsiaTheme="minorEastAsia"/>
          <w:bCs/>
          <w:sz w:val="24"/>
        </w:rPr>
        <w:t>支持专业分流年级、学年学期的设置、专业分流的处理、专业分流学生名单的查看等。</w:t>
      </w:r>
    </w:p>
    <w:p w14:paraId="1915217A">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r>
        <w:rPr>
          <w:rFonts w:hint="default" w:asciiTheme="minorAscii" w:hAnsiTheme="minorAscii" w:eastAsiaTheme="minorEastAsia"/>
          <w:sz w:val="24"/>
        </w:rPr>
        <w:t>(5)数据上报</w:t>
      </w:r>
    </w:p>
    <w:p w14:paraId="0170D263">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 xml:space="preserve">生成上报的电子注册数据(新生/在校生/学籍异动/毕业生)中基表。 </w:t>
      </w:r>
    </w:p>
    <w:p w14:paraId="6B3BBFBB">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outlineLvl w:val="1"/>
        <w:rPr>
          <w:rFonts w:hint="default" w:asciiTheme="minorAscii" w:hAnsiTheme="minorAscii" w:eastAsiaTheme="minorEastAsia"/>
          <w:sz w:val="24"/>
        </w:rPr>
      </w:pPr>
      <w:r>
        <w:rPr>
          <w:rFonts w:hint="default" w:asciiTheme="minorAscii" w:hAnsiTheme="minorAscii" w:eastAsiaTheme="minorEastAsia"/>
          <w:sz w:val="24"/>
        </w:rPr>
        <w:t>5.教学计划</w:t>
      </w:r>
    </w:p>
    <w:p w14:paraId="197FE0C1">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bCs/>
          <w:sz w:val="24"/>
        </w:rPr>
        <w:t>教学计划是中职学校教学运行的基本依据，由各个年级/专业培养方案构成。</w:t>
      </w:r>
    </w:p>
    <w:p w14:paraId="0BE0F8BC">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bookmarkStart w:id="2" w:name="_Toc53867236"/>
      <w:r>
        <w:rPr>
          <w:rFonts w:hint="default" w:asciiTheme="minorAscii" w:hAnsiTheme="minorAscii" w:eastAsiaTheme="minorEastAsia"/>
          <w:sz w:val="24"/>
        </w:rPr>
        <w:t>(1)课程/环节信息</w:t>
      </w:r>
      <w:bookmarkEnd w:id="2"/>
    </w:p>
    <w:p w14:paraId="76D9F353">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bCs/>
          <w:sz w:val="24"/>
        </w:rPr>
      </w:pPr>
      <w:r>
        <w:rPr>
          <w:rFonts w:hint="default" w:cs="宋体" w:asciiTheme="minorAscii" w:hAnsiTheme="minorAscii" w:eastAsiaTheme="minorEastAsia"/>
          <w:bCs/>
          <w:sz w:val="24"/>
        </w:rPr>
        <w:t>录入理论课程与实践环节信息，</w:t>
      </w:r>
      <w:r>
        <w:rPr>
          <w:rFonts w:hint="default" w:cs="宋体" w:asciiTheme="minorAscii" w:hAnsiTheme="minorAscii" w:eastAsiaTheme="minorEastAsia"/>
          <w:sz w:val="24"/>
        </w:rPr>
        <w:t>构建完整、准确、规范的课程/环节信息库。</w:t>
      </w:r>
    </w:p>
    <w:p w14:paraId="5EAA74A2">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bookmarkStart w:id="3" w:name="_Toc53867237"/>
      <w:r>
        <w:rPr>
          <w:rFonts w:hint="default" w:asciiTheme="minorAscii" w:hAnsiTheme="minorAscii" w:eastAsiaTheme="minorEastAsia"/>
          <w:sz w:val="24"/>
        </w:rPr>
        <w:t>(2)设置教学计划</w:t>
      </w:r>
      <w:bookmarkEnd w:id="3"/>
    </w:p>
    <w:p w14:paraId="37B26F36">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bookmarkStart w:id="4" w:name="_Toc54238619"/>
      <w:r>
        <w:rPr>
          <w:rFonts w:hint="default" w:cs="宋体" w:asciiTheme="minorAscii" w:hAnsiTheme="minorAscii" w:eastAsiaTheme="minorEastAsia"/>
          <w:sz w:val="24"/>
        </w:rPr>
        <w:t>首先，由教务处与各个系/部通过校园网共同构建某一年级(通常为在校最高年级或教学计划最完善年级)的教学计划版本，即设置该年级各个专业的培养方案，包括设置理论课程、实践环节与毕业学分要求。</w:t>
      </w:r>
    </w:p>
    <w:p w14:paraId="05E1701E">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其次，将该年级的教学计划(可以根据需要选择部分专业)复制到另一年级，逐一核对另一年级各个专业的培养方案并通过少量的增/删/改，即可形成另一年级的教学计划。</w:t>
      </w:r>
    </w:p>
    <w:p w14:paraId="1480C1E9">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最终，形成各个年级完整、准确的教学计划。</w:t>
      </w:r>
    </w:p>
    <w:p w14:paraId="096FDBF8">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设置某一年级的教学计划时，具有如下两种简便、快捷的方式：</w:t>
      </w:r>
    </w:p>
    <w:p w14:paraId="6E558179">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①将某一专业的培养方案复制到同一年级的若干相近专业，并通过少量的增/删/改，即可形成相应专业的培养方案。</w:t>
      </w:r>
    </w:p>
    <w:p w14:paraId="55A5EE29">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②将某一公共课、专业基础课或实践环节批量设置到相关所有专业。</w:t>
      </w:r>
      <w:bookmarkEnd w:id="4"/>
    </w:p>
    <w:p w14:paraId="79E99EDB">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bookmarkStart w:id="5" w:name="_Toc53867238"/>
      <w:r>
        <w:rPr>
          <w:rFonts w:hint="default" w:asciiTheme="minorAscii" w:hAnsiTheme="minorAscii" w:eastAsiaTheme="minorEastAsia"/>
          <w:sz w:val="24"/>
        </w:rPr>
        <w:t>(3)制定学期开课计划</w:t>
      </w:r>
      <w:bookmarkEnd w:id="5"/>
    </w:p>
    <w:p w14:paraId="472BBA1E">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bCs/>
          <w:sz w:val="24"/>
        </w:rPr>
      </w:pPr>
      <w:r>
        <w:rPr>
          <w:rFonts w:hint="default" w:cs="宋体" w:asciiTheme="minorAscii" w:hAnsiTheme="minorAscii" w:eastAsiaTheme="minorEastAsia"/>
          <w:sz w:val="24"/>
        </w:rPr>
        <w:t>首先，设置学年学期，读取学期教学计划。</w:t>
      </w:r>
    </w:p>
    <w:p w14:paraId="4A3E2D44">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bCs/>
          <w:sz w:val="24"/>
        </w:rPr>
      </w:pPr>
      <w:r>
        <w:rPr>
          <w:rFonts w:hint="default" w:cs="宋体" w:asciiTheme="minorAscii" w:hAnsiTheme="minorAscii" w:eastAsiaTheme="minorEastAsia"/>
          <w:sz w:val="24"/>
        </w:rPr>
        <w:t>其次，</w:t>
      </w:r>
      <w:r>
        <w:rPr>
          <w:rFonts w:hint="default" w:cs="宋体" w:asciiTheme="minorAscii" w:hAnsiTheme="minorAscii" w:eastAsiaTheme="minorEastAsia"/>
          <w:bCs/>
          <w:sz w:val="24"/>
        </w:rPr>
        <w:t>确定各个年级/专业的学期开课变更。</w:t>
      </w:r>
    </w:p>
    <w:p w14:paraId="766DDABB">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bCs/>
          <w:sz w:val="24"/>
        </w:rPr>
      </w:pPr>
      <w:r>
        <w:rPr>
          <w:rFonts w:hint="default" w:cs="宋体" w:asciiTheme="minorAscii" w:hAnsiTheme="minorAscii" w:eastAsiaTheme="minorEastAsia"/>
          <w:bCs/>
          <w:sz w:val="24"/>
        </w:rPr>
        <w:t>另外，设置学期公共任选课及适应年级/专业。</w:t>
      </w:r>
    </w:p>
    <w:p w14:paraId="736358EB">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bCs/>
          <w:sz w:val="24"/>
        </w:rPr>
      </w:pPr>
      <w:r>
        <w:rPr>
          <w:rFonts w:hint="default" w:cs="宋体" w:asciiTheme="minorAscii" w:hAnsiTheme="minorAscii" w:eastAsiaTheme="minorEastAsia"/>
          <w:bCs/>
          <w:sz w:val="24"/>
        </w:rPr>
        <w:t>查看学期开课计划，打印学期教学任务(初步)。</w:t>
      </w:r>
    </w:p>
    <w:p w14:paraId="4F430150">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outlineLvl w:val="1"/>
        <w:rPr>
          <w:rFonts w:hint="default" w:asciiTheme="minorAscii" w:hAnsiTheme="minorAscii" w:eastAsiaTheme="minorEastAsia"/>
          <w:sz w:val="24"/>
        </w:rPr>
      </w:pPr>
      <w:r>
        <w:rPr>
          <w:rFonts w:hint="default" w:asciiTheme="minorAscii" w:hAnsiTheme="minorAscii" w:eastAsiaTheme="minorEastAsia"/>
          <w:sz w:val="24"/>
        </w:rPr>
        <w:t>6.实践教学</w:t>
      </w:r>
    </w:p>
    <w:p w14:paraId="3E55CDE1">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实践教学是中职学校培养学生能力、提高学生素质的重要环节，包括军训、劳动、实训等。</w:t>
      </w:r>
    </w:p>
    <w:p w14:paraId="75F4201C">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r>
        <w:rPr>
          <w:rFonts w:hint="default" w:asciiTheme="minorAscii" w:hAnsiTheme="minorAscii" w:eastAsiaTheme="minorEastAsia"/>
          <w:sz w:val="24"/>
        </w:rPr>
        <w:t>(1)设置实践教学任务</w:t>
      </w:r>
    </w:p>
    <w:p w14:paraId="60314712">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bCs/>
          <w:sz w:val="24"/>
        </w:rPr>
      </w:pPr>
      <w:r>
        <w:rPr>
          <w:rFonts w:hint="default" w:cs="宋体" w:asciiTheme="minorAscii" w:hAnsiTheme="minorAscii" w:eastAsiaTheme="minorEastAsia"/>
          <w:bCs/>
          <w:sz w:val="24"/>
        </w:rPr>
        <w:t>依据学期开课计划，由系/部为下属各个班级确定相应环节周次，形成学期初步实践教学任务，生成学期实践教学进程。</w:t>
      </w:r>
    </w:p>
    <w:p w14:paraId="1E14217C">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r>
        <w:rPr>
          <w:rFonts w:hint="default" w:asciiTheme="minorAscii" w:hAnsiTheme="minorAscii" w:eastAsiaTheme="minorEastAsia"/>
          <w:sz w:val="24"/>
        </w:rPr>
        <w:t>(2)安排实践环节</w:t>
      </w:r>
    </w:p>
    <w:p w14:paraId="099D5781">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bCs/>
          <w:sz w:val="24"/>
        </w:rPr>
      </w:pPr>
      <w:r>
        <w:rPr>
          <w:rFonts w:hint="default" w:cs="宋体" w:asciiTheme="minorAscii" w:hAnsiTheme="minorAscii" w:eastAsiaTheme="minorEastAsia"/>
          <w:bCs/>
          <w:sz w:val="24"/>
        </w:rPr>
        <w:t>由系/部教务秘书安排实践环节的实践地点和指导教师，发布学期实践教学安排。</w:t>
      </w:r>
    </w:p>
    <w:p w14:paraId="45272C01">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r>
        <w:rPr>
          <w:rFonts w:hint="default" w:asciiTheme="minorAscii" w:hAnsiTheme="minorAscii" w:eastAsiaTheme="minorEastAsia"/>
          <w:sz w:val="24"/>
        </w:rPr>
        <w:t>(3)实践环节安排表</w:t>
      </w:r>
    </w:p>
    <w:p w14:paraId="6E7BA61A">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bCs/>
          <w:sz w:val="24"/>
        </w:rPr>
      </w:pPr>
      <w:r>
        <w:rPr>
          <w:rFonts w:hint="default" w:cs="宋体" w:asciiTheme="minorAscii" w:hAnsiTheme="minorAscii" w:eastAsiaTheme="minorEastAsia"/>
          <w:bCs/>
          <w:sz w:val="24"/>
        </w:rPr>
        <w:t>按班级查看实践环节安排表</w:t>
      </w:r>
    </w:p>
    <w:p w14:paraId="51827A49">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bCs/>
          <w:sz w:val="24"/>
        </w:rPr>
      </w:pPr>
      <w:r>
        <w:rPr>
          <w:rFonts w:hint="default" w:cs="宋体" w:asciiTheme="minorAscii" w:hAnsiTheme="minorAscii" w:eastAsiaTheme="minorEastAsia"/>
          <w:bCs/>
          <w:sz w:val="24"/>
        </w:rPr>
        <w:t>按指导教师查看实践环节安排表</w:t>
      </w:r>
    </w:p>
    <w:p w14:paraId="5DC01358">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bCs/>
          <w:sz w:val="24"/>
        </w:rPr>
      </w:pPr>
      <w:r>
        <w:rPr>
          <w:rFonts w:hint="default" w:cs="宋体" w:asciiTheme="minorAscii" w:hAnsiTheme="minorAscii" w:eastAsiaTheme="minorEastAsia"/>
          <w:bCs/>
          <w:sz w:val="24"/>
        </w:rPr>
        <w:t>按实践地点查看实践环节安排表</w:t>
      </w:r>
    </w:p>
    <w:p w14:paraId="504E8CAB">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outlineLvl w:val="1"/>
        <w:rPr>
          <w:rFonts w:hint="default" w:asciiTheme="minorAscii" w:hAnsiTheme="minorAscii" w:eastAsiaTheme="minorEastAsia"/>
          <w:sz w:val="24"/>
        </w:rPr>
      </w:pPr>
      <w:r>
        <w:rPr>
          <w:rFonts w:hint="default" w:asciiTheme="minorAscii" w:hAnsiTheme="minorAscii" w:eastAsiaTheme="minorEastAsia"/>
          <w:sz w:val="24"/>
        </w:rPr>
        <w:t>7.课表编排</w:t>
      </w:r>
      <w:bookmarkStart w:id="6" w:name="_Toc268354658"/>
      <w:bookmarkStart w:id="7" w:name="_Toc268444071"/>
    </w:p>
    <w:p w14:paraId="7FD4B947">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课表是中职学校落实教学任务、实施教学活动的依据。</w:t>
      </w:r>
    </w:p>
    <w:p w14:paraId="01E5B86F">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课表编排涉及到课程、上课班级/上机班级、任课/指导教师、周次/节次、教学场地(教室/机房等)，必需考虑编排的科学性与合理性，并尽量满足多方面的特殊要求。</w:t>
      </w:r>
    </w:p>
    <w:p w14:paraId="4199090B">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课表编排能够基于校园网，依据学期教学任务、教学资源、学生学籍及学期校历(周次)，简便快捷、科学合理地完成学期课表编排。</w:t>
      </w:r>
    </w:p>
    <w:p w14:paraId="22181E7F">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bookmarkStart w:id="8" w:name="_Toc53867242"/>
      <w:r>
        <w:rPr>
          <w:rFonts w:hint="default" w:asciiTheme="minorAscii" w:hAnsiTheme="minorAscii" w:eastAsiaTheme="minorEastAsia"/>
          <w:sz w:val="24"/>
        </w:rPr>
        <w:t>(1)教学任务</w:t>
      </w:r>
      <w:bookmarkEnd w:id="8"/>
    </w:p>
    <w:p w14:paraId="006EB165">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依据学期开课计划，由承担单位为承担的每门课程确定任课教师。</w:t>
      </w:r>
    </w:p>
    <w:p w14:paraId="5989C9B7">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制定学期教学任务(课程→任课教师之一→上课班级序列)。依据开设年级/专业→行政班级序列，采用划分方式(行政班级整建制)或混合方式(零散学生)构建相应上课班级。需要依据现有可用教学场地的类型、数量与容量，以及课程类别、任课教师数量等，统筹考虑上课班级构成的一致性。</w:t>
      </w:r>
    </w:p>
    <w:p w14:paraId="1B7C68C6">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对于每一上课班级，确定授课方式、周学时、周学时分布、任课教师、上课班级名称、上课班级人数、连上节数、周次，设置教学场地要求、节次安排要求。</w:t>
      </w:r>
    </w:p>
    <w:p w14:paraId="74073B1A">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打印学期教学任务：分承担单位按课程；分系/部按任课教师；分系/部按年级/专业。</w:t>
      </w:r>
    </w:p>
    <w:p w14:paraId="081C197C">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bookmarkStart w:id="9" w:name="_Toc53867243"/>
      <w:r>
        <w:rPr>
          <w:rFonts w:hint="default" w:asciiTheme="minorAscii" w:hAnsiTheme="minorAscii" w:eastAsiaTheme="minorEastAsia"/>
          <w:sz w:val="24"/>
        </w:rPr>
        <w:t>(2)★课表编排</w:t>
      </w:r>
      <w:bookmarkEnd w:id="9"/>
    </w:p>
    <w:p w14:paraId="6FAD79DA">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设置排课要求：年级/专业不排课节次；教学场地留用周次/节次；课程需要的排课节次与不排课节次；教师对排课时间的特殊要求。</w:t>
      </w:r>
    </w:p>
    <w:p w14:paraId="72E4B234">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智能编排课表：融合课表编排惯例，充分考虑各类课程特点及各种特殊要求，如周次间一致性、隔天错节、地点一致性、指定地点、指定期望安排节次或不期望安排节次、多节连上、单/双周搭配、前/后半学期接续等。</w:t>
      </w:r>
    </w:p>
    <w:p w14:paraId="73A8E6CC">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对于追加的学期教学任务，或由于教学资源受限、特殊要求无法满足等原因而未编排完的课程→上课班级，可先调节教学资源或调整教学任务，而后采用辅助编排方式完成相应的编排。</w:t>
      </w:r>
    </w:p>
    <w:p w14:paraId="4F8D97C6">
      <w:pPr>
        <w:keepNext w:val="0"/>
        <w:keepLines w:val="0"/>
        <w:pageBreakBefore w:val="0"/>
        <w:widowControl w:val="0"/>
        <w:tabs>
          <w:tab w:val="left" w:pos="802"/>
          <w:tab w:val="left" w:pos="839"/>
        </w:tabs>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bCs/>
          <w:sz w:val="24"/>
          <w:lang w:bidi="ar-DZ"/>
        </w:rPr>
      </w:pPr>
      <w:r>
        <w:rPr>
          <w:rFonts w:hint="default" w:cs="宋体" w:asciiTheme="minorAscii" w:hAnsiTheme="minorAscii" w:eastAsiaTheme="minorEastAsia"/>
          <w:sz w:val="24"/>
        </w:rPr>
        <w:t>灵活设置课表显示内容，提供各种课表：课程课表，教师课表，教室课表，班级课表，学生课表，周/日/节次课表，全校课表(按课程/按教师/按教室/按班级)，任选课表。</w:t>
      </w:r>
    </w:p>
    <w:p w14:paraId="0AA54A8A">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bookmarkStart w:id="10" w:name="_Toc53867244"/>
      <w:bookmarkStart w:id="11" w:name="_Toc493084853"/>
      <w:r>
        <w:rPr>
          <w:rFonts w:hint="default" w:asciiTheme="minorAscii" w:hAnsiTheme="minorAscii" w:eastAsiaTheme="minorEastAsia"/>
          <w:sz w:val="24"/>
        </w:rPr>
        <w:t>(3)★调课管理</w:t>
      </w:r>
      <w:bookmarkEnd w:id="10"/>
      <w:bookmarkEnd w:id="11"/>
    </w:p>
    <w:p w14:paraId="57CE6F75">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bCs/>
          <w:sz w:val="24"/>
        </w:rPr>
        <w:t>教务处调课处理：</w:t>
      </w:r>
      <w:r>
        <w:rPr>
          <w:rFonts w:hint="default" w:cs="宋体" w:asciiTheme="minorAscii" w:hAnsiTheme="minorAscii" w:eastAsiaTheme="minorEastAsia"/>
          <w:sz w:val="24"/>
        </w:rPr>
        <w:t>包括调周次/节次、调上课/上机地点、调教师；对于还未明确调课目标的情况，可以按照先停再补方式办理。</w:t>
      </w:r>
    </w:p>
    <w:p w14:paraId="1FBE9C6D">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bCs/>
          <w:sz w:val="24"/>
        </w:rPr>
      </w:pPr>
      <w:r>
        <w:rPr>
          <w:rFonts w:hint="default" w:cs="宋体" w:asciiTheme="minorAscii" w:hAnsiTheme="minorAscii" w:eastAsiaTheme="minorEastAsia"/>
          <w:sz w:val="24"/>
        </w:rPr>
        <w:t>通过校园网发布停课/调课信息(电子邮件/在线消息/手机短信)，及时通知相关承担单位、教师与学生。</w:t>
      </w:r>
    </w:p>
    <w:p w14:paraId="515E53E9">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bookmarkStart w:id="12" w:name="_Toc53867245"/>
      <w:r>
        <w:rPr>
          <w:rFonts w:hint="default" w:asciiTheme="minorAscii" w:hAnsiTheme="minorAscii" w:eastAsiaTheme="minorEastAsia"/>
          <w:sz w:val="24"/>
        </w:rPr>
        <w:t>(4)临时活动</w:t>
      </w:r>
      <w:bookmarkEnd w:id="12"/>
    </w:p>
    <w:p w14:paraId="5E128E1F">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bCs/>
          <w:sz w:val="24"/>
        </w:rPr>
      </w:pPr>
      <w:r>
        <w:rPr>
          <w:rFonts w:hint="default" w:cs="宋体" w:asciiTheme="minorAscii" w:hAnsiTheme="minorAscii" w:eastAsiaTheme="minorEastAsia"/>
          <w:bCs/>
          <w:sz w:val="24"/>
        </w:rPr>
        <w:t>检索指定时间的空闲教室，安排临时活动；查看临时活动安排。</w:t>
      </w:r>
    </w:p>
    <w:bookmarkEnd w:id="6"/>
    <w:bookmarkEnd w:id="7"/>
    <w:p w14:paraId="3172E59D">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outlineLvl w:val="1"/>
        <w:rPr>
          <w:rFonts w:hint="default" w:asciiTheme="minorAscii" w:hAnsiTheme="minorAscii" w:eastAsiaTheme="minorEastAsia"/>
          <w:sz w:val="24"/>
        </w:rPr>
      </w:pPr>
      <w:r>
        <w:rPr>
          <w:rFonts w:hint="default" w:asciiTheme="minorAscii" w:hAnsiTheme="minorAscii" w:eastAsiaTheme="minorEastAsia"/>
          <w:sz w:val="24"/>
        </w:rPr>
        <w:t>8.网上选课</w:t>
      </w:r>
    </w:p>
    <w:p w14:paraId="2986429C">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网上选课划分为选课与补/退选两个阶段，分别用于选定相应任课教师</w:t>
      </w:r>
      <w:r>
        <w:rPr>
          <w:rFonts w:hint="default" w:cs="宋体" w:asciiTheme="minorAscii" w:hAnsiTheme="minorAscii" w:eastAsiaTheme="minorEastAsia"/>
          <w:sz w:val="24"/>
        </w:rPr>
        <w:sym w:font="Symbol" w:char="F0AE"/>
      </w:r>
      <w:r>
        <w:rPr>
          <w:rFonts w:hint="default" w:cs="宋体" w:asciiTheme="minorAscii" w:hAnsiTheme="minorAscii" w:eastAsiaTheme="minorEastAsia"/>
          <w:sz w:val="24"/>
        </w:rPr>
        <w:t>上课班级之一、补退选部分课程。</w:t>
      </w:r>
    </w:p>
    <w:p w14:paraId="040DF6DE">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bookmarkStart w:id="13" w:name="_Toc53867247"/>
      <w:bookmarkStart w:id="14" w:name="_Toc493084856"/>
      <w:r>
        <w:rPr>
          <w:rFonts w:hint="default" w:asciiTheme="minorAscii" w:hAnsiTheme="minorAscii" w:eastAsiaTheme="minorEastAsia"/>
          <w:sz w:val="24"/>
        </w:rPr>
        <w:t>(1)选课阶段</w:t>
      </w:r>
      <w:bookmarkEnd w:id="13"/>
    </w:p>
    <w:p w14:paraId="15DA78E3">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依据学期开课计划，为各个年级/专业设置不需要选课的课程(即直接进入选课结果且不允许学生退掉)。</w:t>
      </w:r>
    </w:p>
    <w:p w14:paraId="5FA8A08C">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在完成课表编排之后，分年级按专业、分课程按上课班级以及按学生设置有关选课限制。</w:t>
      </w:r>
    </w:p>
    <w:p w14:paraId="49A51B69">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学生通过校园网/互联网在需要选课课程范围内选定课程及相应任课教师</w:t>
      </w:r>
      <w:r>
        <w:rPr>
          <w:rFonts w:hint="default" w:cs="宋体" w:asciiTheme="minorAscii" w:hAnsiTheme="minorAscii" w:eastAsiaTheme="minorEastAsia"/>
          <w:sz w:val="24"/>
        </w:rPr>
        <w:sym w:font="Symbol" w:char="F0AE"/>
      </w:r>
      <w:r>
        <w:rPr>
          <w:rFonts w:hint="default" w:cs="宋体" w:asciiTheme="minorAscii" w:hAnsiTheme="minorAscii" w:eastAsiaTheme="minorEastAsia"/>
          <w:sz w:val="24"/>
        </w:rPr>
        <w:t>上课班级之一(亦即选定相应的上课周次/节次)。</w:t>
      </w:r>
    </w:p>
    <w:p w14:paraId="3F3045A1">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处理学生选课情况，形成选课结果(课程</w:t>
      </w:r>
      <w:r>
        <w:rPr>
          <w:rFonts w:hint="default" w:cs="宋体" w:asciiTheme="minorAscii" w:hAnsiTheme="minorAscii" w:eastAsiaTheme="minorEastAsia"/>
          <w:sz w:val="24"/>
        </w:rPr>
        <w:sym w:font="Symbol" w:char="F0AE"/>
      </w:r>
      <w:r>
        <w:rPr>
          <w:rFonts w:hint="default" w:cs="宋体" w:asciiTheme="minorAscii" w:hAnsiTheme="minorAscii" w:eastAsiaTheme="minorEastAsia"/>
          <w:sz w:val="24"/>
        </w:rPr>
        <w:t>任课教师</w:t>
      </w:r>
      <w:r>
        <w:rPr>
          <w:rFonts w:hint="default" w:cs="宋体" w:asciiTheme="minorAscii" w:hAnsiTheme="minorAscii" w:eastAsiaTheme="minorEastAsia"/>
          <w:sz w:val="24"/>
        </w:rPr>
        <w:sym w:font="Symbol" w:char="F0AE"/>
      </w:r>
      <w:r>
        <w:rPr>
          <w:rFonts w:hint="default" w:cs="宋体" w:asciiTheme="minorAscii" w:hAnsiTheme="minorAscii" w:eastAsiaTheme="minorEastAsia"/>
          <w:sz w:val="24"/>
        </w:rPr>
        <w:t>上课班级之一</w:t>
      </w:r>
      <w:r>
        <w:rPr>
          <w:rFonts w:hint="default" w:cs="宋体" w:asciiTheme="minorAscii" w:hAnsiTheme="minorAscii" w:eastAsiaTheme="minorEastAsia"/>
          <w:sz w:val="24"/>
        </w:rPr>
        <w:sym w:font="Symbol" w:char="F0AE"/>
      </w:r>
      <w:r>
        <w:rPr>
          <w:rFonts w:hint="default" w:cs="宋体" w:asciiTheme="minorAscii" w:hAnsiTheme="minorAscii" w:eastAsiaTheme="minorEastAsia"/>
          <w:sz w:val="24"/>
        </w:rPr>
        <w:t>选课学生)。</w:t>
      </w:r>
    </w:p>
    <w:p w14:paraId="37916587">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bookmarkStart w:id="15" w:name="_Toc53867248"/>
      <w:r>
        <w:rPr>
          <w:rFonts w:hint="default" w:asciiTheme="minorAscii" w:hAnsiTheme="minorAscii" w:eastAsiaTheme="minorEastAsia"/>
          <w:sz w:val="24"/>
        </w:rPr>
        <w:t>(2)补/退选阶段</w:t>
      </w:r>
      <w:bookmarkEnd w:id="15"/>
    </w:p>
    <w:p w14:paraId="75FD9BE8">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在完成选课之后，实时发布“课程</w:t>
      </w:r>
      <w:r>
        <w:rPr>
          <w:rFonts w:hint="default" w:cs="宋体" w:asciiTheme="minorAscii" w:hAnsiTheme="minorAscii" w:eastAsiaTheme="minorEastAsia"/>
          <w:sz w:val="24"/>
        </w:rPr>
        <w:sym w:font="Symbol" w:char="F0AE"/>
      </w:r>
      <w:r>
        <w:rPr>
          <w:rFonts w:hint="default" w:cs="宋体" w:asciiTheme="minorAscii" w:hAnsiTheme="minorAscii" w:eastAsiaTheme="minorEastAsia"/>
          <w:sz w:val="24"/>
        </w:rPr>
        <w:t>任课教师</w:t>
      </w:r>
      <w:r>
        <w:rPr>
          <w:rFonts w:hint="default" w:cs="宋体" w:asciiTheme="minorAscii" w:hAnsiTheme="minorAscii" w:eastAsiaTheme="minorEastAsia"/>
          <w:sz w:val="24"/>
        </w:rPr>
        <w:sym w:font="Symbol" w:char="F0AE"/>
      </w:r>
      <w:r>
        <w:rPr>
          <w:rFonts w:hint="default" w:cs="宋体" w:asciiTheme="minorAscii" w:hAnsiTheme="minorAscii" w:eastAsiaTheme="minorEastAsia"/>
          <w:sz w:val="24"/>
        </w:rPr>
        <w:t>上课班级之一</w:t>
      </w:r>
      <w:r>
        <w:rPr>
          <w:rFonts w:hint="default" w:cs="宋体" w:asciiTheme="minorAscii" w:hAnsiTheme="minorAscii" w:eastAsiaTheme="minorEastAsia"/>
          <w:sz w:val="24"/>
        </w:rPr>
        <w:sym w:font="Symbol" w:char="F0AE"/>
      </w:r>
      <w:r>
        <w:rPr>
          <w:rFonts w:hint="default" w:cs="宋体" w:asciiTheme="minorAscii" w:hAnsiTheme="minorAscii" w:eastAsiaTheme="minorEastAsia"/>
          <w:sz w:val="24"/>
        </w:rPr>
        <w:t>空余名额”信息，学生通过校园网/互联网在可补选课程范围内补选课程(限有空余名额的课程</w:t>
      </w:r>
      <w:r>
        <w:rPr>
          <w:rFonts w:hint="default" w:cs="宋体" w:asciiTheme="minorAscii" w:hAnsiTheme="minorAscii" w:eastAsiaTheme="minorEastAsia"/>
          <w:sz w:val="24"/>
        </w:rPr>
        <w:sym w:font="Symbol" w:char="F0AE"/>
      </w:r>
      <w:r>
        <w:rPr>
          <w:rFonts w:hint="default" w:cs="宋体" w:asciiTheme="minorAscii" w:hAnsiTheme="minorAscii" w:eastAsiaTheme="minorEastAsia"/>
          <w:sz w:val="24"/>
        </w:rPr>
        <w:t>上课班级)、在已选课程范围内退选课程(限需要选课的课程)。</w:t>
      </w:r>
    </w:p>
    <w:bookmarkEnd w:id="14"/>
    <w:p w14:paraId="038448F4">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outlineLvl w:val="1"/>
        <w:rPr>
          <w:rFonts w:hint="default" w:asciiTheme="minorAscii" w:hAnsiTheme="minorAscii" w:eastAsiaTheme="minorEastAsia"/>
          <w:sz w:val="24"/>
        </w:rPr>
      </w:pPr>
      <w:r>
        <w:rPr>
          <w:rFonts w:hint="default" w:asciiTheme="minorAscii" w:hAnsiTheme="minorAscii" w:eastAsiaTheme="minorEastAsia"/>
          <w:sz w:val="24"/>
        </w:rPr>
        <w:t>9.考试安排</w:t>
      </w:r>
    </w:p>
    <w:p w14:paraId="62A72659">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bookmarkStart w:id="16" w:name="_Toc155870661"/>
      <w:bookmarkStart w:id="17" w:name="_Toc194217451"/>
      <w:bookmarkStart w:id="18" w:name="_Toc194222100"/>
      <w:r>
        <w:rPr>
          <w:rFonts w:hint="default" w:cs="宋体" w:asciiTheme="minorAscii" w:hAnsiTheme="minorAscii" w:eastAsiaTheme="minorEastAsia"/>
          <w:sz w:val="24"/>
        </w:rPr>
        <w:t>考试安排是中职学校教学运行的重要环节，涉及到缓考与补考处理、考试安排、考场记录与考试通报等多个方面的工作。</w:t>
      </w:r>
    </w:p>
    <w:p w14:paraId="3EA93313">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bookmarkStart w:id="19" w:name="_Toc53867251"/>
      <w:r>
        <w:rPr>
          <w:rFonts w:hint="default" w:asciiTheme="minorAscii" w:hAnsiTheme="minorAscii" w:eastAsiaTheme="minorEastAsia"/>
          <w:sz w:val="24"/>
        </w:rPr>
        <w:t>(1)设置考试参数</w:t>
      </w:r>
      <w:bookmarkEnd w:id="19"/>
    </w:p>
    <w:p w14:paraId="635D1129">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bCs/>
          <w:sz w:val="24"/>
        </w:rPr>
      </w:pPr>
      <w:r>
        <w:rPr>
          <w:rFonts w:hint="default" w:cs="宋体" w:asciiTheme="minorAscii" w:hAnsiTheme="minorAscii" w:eastAsiaTheme="minorEastAsia"/>
          <w:bCs/>
          <w:sz w:val="24"/>
        </w:rPr>
        <w:t>设置学年学期、考试轮次、考试时间与考场容量。</w:t>
      </w:r>
    </w:p>
    <w:p w14:paraId="263EDE6D">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bookmarkStart w:id="20" w:name="_Toc53867252"/>
      <w:r>
        <w:rPr>
          <w:rFonts w:hint="default" w:asciiTheme="minorAscii" w:hAnsiTheme="minorAscii" w:eastAsiaTheme="minorEastAsia"/>
          <w:sz w:val="24"/>
        </w:rPr>
        <w:t>(2)考试任务</w:t>
      </w:r>
      <w:bookmarkEnd w:id="20"/>
    </w:p>
    <w:p w14:paraId="18AC6CE5">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考试轮次为末考时，确认需安排考试课程，确定考试安排任务及课程→可监考人员。</w:t>
      </w:r>
    </w:p>
    <w:p w14:paraId="76011AFE">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考试轮次为补考时，确定补考课程→学生。</w:t>
      </w:r>
    </w:p>
    <w:p w14:paraId="0D302DF7">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简便快捷地完成学生缓考课程的登记、确认；对于在安排考试之前确认的缓考学生，不安排座位号；对于在安排考试之后确认的缓考学生，在对应座位号处标记“缓考”。</w:t>
      </w:r>
    </w:p>
    <w:p w14:paraId="4593847F">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bookmarkStart w:id="21" w:name="_Toc53867253"/>
      <w:r>
        <w:rPr>
          <w:rFonts w:hint="default" w:asciiTheme="minorAscii" w:hAnsiTheme="minorAscii" w:eastAsiaTheme="minorEastAsia"/>
          <w:sz w:val="24"/>
        </w:rPr>
        <w:t>(3)考试安排</w:t>
      </w:r>
      <w:bookmarkEnd w:id="21"/>
    </w:p>
    <w:p w14:paraId="4A0EE44F">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设置有关排考要求，采用智能或者辅助安排方式，简便快捷、科学合理地完成考试安排(包括考试时间、考试地点与监考人员)，并通过校园网/互联网发布有关考试安排信息。</w:t>
      </w:r>
    </w:p>
    <w:p w14:paraId="5E98D7F7">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提供各种考试安排表：时间区段考试安排表，课程考试安排表，班级考试安排表，学生考试安排表，教室考试安排表，监考人员监考安排表。</w:t>
      </w:r>
    </w:p>
    <w:p w14:paraId="65F741CB">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bookmarkStart w:id="22" w:name="_Toc53867254"/>
      <w:r>
        <w:rPr>
          <w:rFonts w:hint="default" w:asciiTheme="minorAscii" w:hAnsiTheme="minorAscii" w:eastAsiaTheme="minorEastAsia"/>
          <w:sz w:val="24"/>
        </w:rPr>
        <w:t>(4)考场记录</w:t>
      </w:r>
      <w:bookmarkEnd w:id="22"/>
    </w:p>
    <w:p w14:paraId="65DB881B">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打印考场记录表，录入考场记录，通过校园网/互联网发布考场记录(有关缺考与舞弊等情况)。</w:t>
      </w:r>
      <w:bookmarkEnd w:id="16"/>
      <w:bookmarkEnd w:id="17"/>
      <w:bookmarkEnd w:id="18"/>
    </w:p>
    <w:p w14:paraId="316B49A5">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outlineLvl w:val="1"/>
        <w:rPr>
          <w:rFonts w:hint="default" w:asciiTheme="minorAscii" w:hAnsiTheme="minorAscii" w:eastAsiaTheme="minorEastAsia"/>
          <w:sz w:val="24"/>
        </w:rPr>
      </w:pPr>
      <w:r>
        <w:rPr>
          <w:rFonts w:hint="default" w:asciiTheme="minorAscii" w:hAnsiTheme="minorAscii" w:eastAsiaTheme="minorEastAsia"/>
          <w:sz w:val="24"/>
        </w:rPr>
        <w:t>10.学生评教</w:t>
      </w:r>
    </w:p>
    <w:p w14:paraId="6F2D3EAC">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评价设置：评价指标等级，评价质量等级，评价量化办法，评价指标体系。</w:t>
      </w:r>
    </w:p>
    <w:p w14:paraId="1FD4DCD8">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评价安排：设置评价轮次，分评价轮次设置学生评价范围。</w:t>
      </w:r>
    </w:p>
    <w:p w14:paraId="3BB65B69">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评价处理：学生通过校园网/互联网、依据教学质量评价指标体系，对于相应评价范围内的课程/环节→教师进行评价；按学生或按课程/环节处理学生的评价信息。</w:t>
      </w:r>
    </w:p>
    <w:p w14:paraId="4A1F3976">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评价结果：查看教师排名；分部门按教师查看教学评价结果；统计学生评教情况(全校参评率、行政班级参评率、分部门查看任课教师→课程参评率、分承担单位查看课程→任课教师参评率、分承担单位统计参评课程情况)。</w:t>
      </w:r>
    </w:p>
    <w:p w14:paraId="153F11E8">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outlineLvl w:val="1"/>
        <w:rPr>
          <w:rFonts w:hint="default" w:asciiTheme="minorAscii" w:hAnsiTheme="minorAscii" w:eastAsiaTheme="minorEastAsia"/>
          <w:sz w:val="24"/>
        </w:rPr>
      </w:pPr>
      <w:r>
        <w:rPr>
          <w:rFonts w:hint="default" w:asciiTheme="minorAscii" w:hAnsiTheme="minorAscii" w:eastAsiaTheme="minorEastAsia"/>
          <w:sz w:val="24"/>
        </w:rPr>
        <w:t>11.教学工作量</w:t>
      </w:r>
    </w:p>
    <w:p w14:paraId="6EEB69D4">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bCs/>
          <w:sz w:val="24"/>
        </w:rPr>
      </w:pPr>
      <w:r>
        <w:rPr>
          <w:rFonts w:hint="default" w:cs="宋体" w:asciiTheme="minorAscii" w:hAnsiTheme="minorAscii" w:eastAsiaTheme="minorEastAsia"/>
          <w:sz w:val="24"/>
        </w:rPr>
        <w:t>工作量分为理论教学与实践教学两个方面，包括讲授课程、指导实训、指导社会实践、指导实习等。</w:t>
      </w:r>
    </w:p>
    <w:p w14:paraId="7FA3F200">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bookmarkStart w:id="23" w:name="_Toc53867285"/>
      <w:r>
        <w:rPr>
          <w:rFonts w:hint="default" w:asciiTheme="minorAscii" w:hAnsiTheme="minorAscii" w:eastAsiaTheme="minorEastAsia"/>
          <w:sz w:val="24"/>
        </w:rPr>
        <w:t>(1)设置计算参数</w:t>
      </w:r>
      <w:bookmarkEnd w:id="23"/>
    </w:p>
    <w:p w14:paraId="09EC96BC">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设置计算轮次、教学工作、教学手段、计算范围。</w:t>
      </w:r>
    </w:p>
    <w:p w14:paraId="5254A0FE">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设置教学工作量计算系数：职称系数，特殊身份系数，人数区段系数(分教学工作)，学生层次系数，课程类别系数，环节类别系数，重复教学系数(分教学工作)，教学手段系数，教学质量系数(分教学工作)。</w:t>
      </w:r>
    </w:p>
    <w:p w14:paraId="75D1DC9A">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设置教学工作量计算公式：通过交互式地选定有关操作数(含教学工作量计算系数、学时/周数、学分、0-9)与操作符(包括(、)、+、-、*、/)完成。</w:t>
      </w:r>
    </w:p>
    <w:p w14:paraId="0581F066">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bookmarkStart w:id="24" w:name="_Toc53867286"/>
      <w:r>
        <w:rPr>
          <w:rFonts w:hint="default" w:asciiTheme="minorAscii" w:hAnsiTheme="minorAscii" w:eastAsiaTheme="minorEastAsia"/>
          <w:sz w:val="24"/>
        </w:rPr>
        <w:t>(2)计算工作量</w:t>
      </w:r>
      <w:bookmarkEnd w:id="24"/>
    </w:p>
    <w:p w14:paraId="4794CDB6">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依据设定的教学工作量计算公式，计算当前学年学期或现行计算轮次的教学工作量。</w:t>
      </w:r>
    </w:p>
    <w:p w14:paraId="09FB7F40">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调整教学工作量；分教师录入教学工作量；分课程/环节录入教学工作量；录入附加教学工作量。</w:t>
      </w:r>
    </w:p>
    <w:p w14:paraId="2CAEA509">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bookmarkStart w:id="25" w:name="_Toc53867287"/>
      <w:r>
        <w:rPr>
          <w:rFonts w:hint="default" w:asciiTheme="minorAscii" w:hAnsiTheme="minorAscii" w:eastAsiaTheme="minorEastAsia"/>
          <w:sz w:val="24"/>
        </w:rPr>
        <w:t>(3)计算结果</w:t>
      </w:r>
      <w:bookmarkEnd w:id="25"/>
    </w:p>
    <w:p w14:paraId="6BB55FCC">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分系/部按教师查看教学工作量；分承担单位按课程/环节查看教学工作量。</w:t>
      </w:r>
    </w:p>
    <w:p w14:paraId="0EF7C964">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分系/部按教师统计教学工作量；分系/部按职称/学历/学位及年龄区段统计分析教学工作量。</w:t>
      </w:r>
    </w:p>
    <w:p w14:paraId="660BD913">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outlineLvl w:val="1"/>
        <w:rPr>
          <w:rFonts w:hint="default" w:asciiTheme="minorAscii" w:hAnsiTheme="minorAscii" w:eastAsiaTheme="minorEastAsia"/>
          <w:sz w:val="24"/>
        </w:rPr>
      </w:pPr>
      <w:r>
        <w:rPr>
          <w:rFonts w:hint="default" w:asciiTheme="minorAscii" w:hAnsiTheme="minorAscii" w:eastAsiaTheme="minorEastAsia"/>
          <w:sz w:val="24"/>
        </w:rPr>
        <w:t>12.教材管理</w:t>
      </w:r>
    </w:p>
    <w:p w14:paraId="3F4480AD">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bCs/>
          <w:sz w:val="24"/>
        </w:rPr>
      </w:pPr>
      <w:r>
        <w:rPr>
          <w:rFonts w:hint="default" w:cs="宋体" w:asciiTheme="minorAscii" w:hAnsiTheme="minorAscii" w:eastAsiaTheme="minorEastAsia"/>
          <w:sz w:val="24"/>
        </w:rPr>
        <w:t>教材管理是中职学校管理的重要组成部分，包括教材的库存管理、收订、采购、入库、出库、付款、收款、退款、退书及网上发布有关信息等多个环节。</w:t>
      </w:r>
    </w:p>
    <w:p w14:paraId="4A8C53D6">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依据实际需要与现有库存，确定采购教材的种类与数量。依据学期开课计划确定各个年级/专业的对应课程/环节，由承担单位通过校园网/互联网为承担的课程/环节指定相应的教材种类；依据学生学籍(及选课结果)、新生招生计划、教师用书等确定需要的教材种类与数量；参照现有库存，最终确定需要采购的教材种类与数量，将教材采购单分别报相应的供书单位。</w:t>
      </w:r>
    </w:p>
    <w:p w14:paraId="765865B5">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教材入库时自动提示报给相应供书单位的采购单，教材出库时自动提示相应购书单位报订的教材种类与数量，入库单、出库单及库存清单均标注有每一种类教材所在库房位置(即库房/书架号)，使教材的入库、出库及定期盘点简便快捷。</w:t>
      </w:r>
    </w:p>
    <w:p w14:paraId="3464AFC0">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详细记录教材的收退/发退、报损与赠送情况。</w:t>
      </w:r>
    </w:p>
    <w:p w14:paraId="4A9C5DBA">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依据入库单付款，分供书单位提供对帐单；依据出库单收款，以购书单位(包含班级与非班级)或单个学生为帐户进行结算；详细记录退款与耗费情况。</w:t>
      </w:r>
    </w:p>
    <w:p w14:paraId="699C2842">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分承担单位按教师记录教学领书信息，便于同财务管理部门核算。</w:t>
      </w:r>
    </w:p>
    <w:p w14:paraId="109B3B85">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按课程/环节查询近年来教材的选用情况；提供上报教育部的年度教材使用情况表。</w:t>
      </w:r>
    </w:p>
    <w:p w14:paraId="31DA115E">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实现跨区域联网操作，适合具有多个校区的学校。</w:t>
      </w:r>
    </w:p>
    <w:p w14:paraId="4E35F2C8">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outlineLvl w:val="1"/>
        <w:rPr>
          <w:rFonts w:hint="default" w:asciiTheme="minorAscii" w:hAnsiTheme="minorAscii" w:eastAsiaTheme="minorEastAsia"/>
          <w:sz w:val="24"/>
        </w:rPr>
      </w:pPr>
      <w:r>
        <w:rPr>
          <w:rFonts w:hint="default" w:asciiTheme="minorAscii" w:hAnsiTheme="minorAscii" w:eastAsiaTheme="minorEastAsia"/>
          <w:sz w:val="24"/>
        </w:rPr>
        <w:t>13.学生成绩</w:t>
      </w:r>
    </w:p>
    <w:p w14:paraId="284CD6A1">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bCs/>
          <w:sz w:val="24"/>
        </w:rPr>
      </w:pPr>
      <w:r>
        <w:rPr>
          <w:rFonts w:hint="default" w:cs="宋体" w:asciiTheme="minorAscii" w:hAnsiTheme="minorAscii" w:eastAsiaTheme="minorEastAsia"/>
          <w:sz w:val="24"/>
        </w:rPr>
        <w:t>学生成绩指学生在校期间、从入学到毕业各个学习环节的考核结果。</w:t>
      </w:r>
    </w:p>
    <w:p w14:paraId="5BC1632C">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bookmarkStart w:id="26" w:name="_Toc53867256"/>
      <w:r>
        <w:rPr>
          <w:rFonts w:hint="default" w:asciiTheme="minorAscii" w:hAnsiTheme="minorAscii" w:eastAsiaTheme="minorEastAsia"/>
          <w:sz w:val="24"/>
        </w:rPr>
        <w:t>(1)设置成绩参数</w:t>
      </w:r>
      <w:bookmarkEnd w:id="26"/>
    </w:p>
    <w:p w14:paraId="49DBF1FE">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设置成绩表现形式(百分制/五级制/两级制)、成绩表现形式之间对应关系</w:t>
      </w:r>
    </w:p>
    <w:p w14:paraId="59D357FB">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设置成绩特殊情况(舞弊、缺考、缓考、免考等)</w:t>
      </w:r>
    </w:p>
    <w:p w14:paraId="38749BDF">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设置技能类别</w:t>
      </w:r>
    </w:p>
    <w:p w14:paraId="7DAB9568">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设置补考成绩→有效成绩的计算方法、重修成绩→有效成绩的计算方法</w:t>
      </w:r>
    </w:p>
    <w:p w14:paraId="25181C73">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设置绩点计算方法(公式形式或分段形式)与绩点计算方式</w:t>
      </w:r>
    </w:p>
    <w:p w14:paraId="632307F0">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bookmarkStart w:id="27" w:name="_Toc53867257"/>
      <w:r>
        <w:rPr>
          <w:rFonts w:hint="default" w:asciiTheme="minorAscii" w:hAnsiTheme="minorAscii" w:eastAsiaTheme="minorEastAsia"/>
          <w:sz w:val="24"/>
        </w:rPr>
        <w:t>(2)免修处理</w:t>
      </w:r>
      <w:bookmarkEnd w:id="27"/>
    </w:p>
    <w:p w14:paraId="40167C6C">
      <w:pPr>
        <w:keepNext w:val="0"/>
        <w:keepLines w:val="0"/>
        <w:pageBreakBefore w:val="0"/>
        <w:widowControl w:val="0"/>
        <w:tabs>
          <w:tab w:val="left" w:pos="802"/>
          <w:tab w:val="left" w:pos="839"/>
        </w:tabs>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bCs/>
          <w:sz w:val="24"/>
          <w:lang w:bidi="ar-DZ"/>
        </w:rPr>
      </w:pPr>
      <w:r>
        <w:rPr>
          <w:rFonts w:hint="default" w:cs="宋体" w:asciiTheme="minorAscii" w:hAnsiTheme="minorAscii" w:eastAsiaTheme="minorEastAsia"/>
          <w:bCs/>
          <w:sz w:val="24"/>
          <w:lang w:bidi="ar-DZ"/>
        </w:rPr>
        <w:t>确认学生免修课程/环节。</w:t>
      </w:r>
    </w:p>
    <w:p w14:paraId="04476A98">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bookmarkStart w:id="28" w:name="_Toc53867258"/>
      <w:r>
        <w:rPr>
          <w:rFonts w:hint="default" w:asciiTheme="minorAscii" w:hAnsiTheme="minorAscii" w:eastAsiaTheme="minorEastAsia"/>
          <w:sz w:val="24"/>
        </w:rPr>
        <w:t>(3)重修处理</w:t>
      </w:r>
      <w:bookmarkEnd w:id="28"/>
    </w:p>
    <w:p w14:paraId="05448CB2">
      <w:pPr>
        <w:keepNext w:val="0"/>
        <w:keepLines w:val="0"/>
        <w:pageBreakBefore w:val="0"/>
        <w:widowControl w:val="0"/>
        <w:tabs>
          <w:tab w:val="left" w:pos="802"/>
          <w:tab w:val="left" w:pos="839"/>
        </w:tabs>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bCs/>
          <w:sz w:val="24"/>
          <w:lang w:bidi="ar-DZ"/>
        </w:rPr>
      </w:pPr>
      <w:r>
        <w:rPr>
          <w:rFonts w:hint="default" w:cs="宋体" w:asciiTheme="minorAscii" w:hAnsiTheme="minorAscii" w:eastAsiaTheme="minorEastAsia"/>
          <w:bCs/>
          <w:sz w:val="24"/>
          <w:lang w:bidi="ar-DZ"/>
        </w:rPr>
        <w:t>确认课程</w:t>
      </w:r>
      <w:r>
        <w:rPr>
          <w:rFonts w:hint="default" w:cs="宋体" w:asciiTheme="minorAscii" w:hAnsiTheme="minorAscii" w:eastAsiaTheme="minorEastAsia"/>
          <w:bCs/>
          <w:sz w:val="24"/>
          <w:lang w:bidi="ar-DZ"/>
        </w:rPr>
        <w:sym w:font="Symbol" w:char="F0AE"/>
      </w:r>
      <w:r>
        <w:rPr>
          <w:rFonts w:hint="default" w:cs="宋体" w:asciiTheme="minorAscii" w:hAnsiTheme="minorAscii" w:eastAsiaTheme="minorEastAsia"/>
          <w:bCs/>
          <w:sz w:val="24"/>
          <w:lang w:bidi="ar-DZ"/>
        </w:rPr>
        <w:t>重修学生、确认环节</w:t>
      </w:r>
      <w:r>
        <w:rPr>
          <w:rFonts w:hint="default" w:cs="宋体" w:asciiTheme="minorAscii" w:hAnsiTheme="minorAscii" w:eastAsiaTheme="minorEastAsia"/>
          <w:bCs/>
          <w:sz w:val="24"/>
          <w:lang w:bidi="ar-DZ"/>
        </w:rPr>
        <w:sym w:font="Symbol" w:char="F0AE"/>
      </w:r>
      <w:r>
        <w:rPr>
          <w:rFonts w:hint="default" w:cs="宋体" w:asciiTheme="minorAscii" w:hAnsiTheme="minorAscii" w:eastAsiaTheme="minorEastAsia"/>
          <w:bCs/>
          <w:sz w:val="24"/>
          <w:lang w:bidi="ar-DZ"/>
        </w:rPr>
        <w:t>重修学生。</w:t>
      </w:r>
    </w:p>
    <w:p w14:paraId="44877B8E">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bookmarkStart w:id="29" w:name="_Toc53867259"/>
      <w:r>
        <w:rPr>
          <w:rFonts w:hint="default" w:asciiTheme="minorAscii" w:hAnsiTheme="minorAscii" w:eastAsiaTheme="minorEastAsia"/>
          <w:sz w:val="24"/>
        </w:rPr>
        <w:t>(4)★打印成绩登记册</w:t>
      </w:r>
      <w:bookmarkEnd w:id="29"/>
    </w:p>
    <w:p w14:paraId="3FA2226E">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编辑成绩登记注意事项</w:t>
      </w:r>
    </w:p>
    <w:p w14:paraId="74B71CFF">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分行政班级按课程打印成绩登记册</w:t>
      </w:r>
    </w:p>
    <w:p w14:paraId="7E9E186A">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分行政班级按环节打印成绩登记册</w:t>
      </w:r>
    </w:p>
    <w:p w14:paraId="60041EEE">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分课程按行政班级打印成绩登记册</w:t>
      </w:r>
    </w:p>
    <w:p w14:paraId="5C6FC24B">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分课程按上课班级打印成绩登记册</w:t>
      </w:r>
    </w:p>
    <w:p w14:paraId="0FFB5371">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分课程按年级/专业打印补考成绩登记册</w:t>
      </w:r>
    </w:p>
    <w:p w14:paraId="07164556">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打印环节重修成绩登记册</w:t>
      </w:r>
    </w:p>
    <w:p w14:paraId="66AEBA73">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分课程按上课班级打印上课点名册</w:t>
      </w:r>
    </w:p>
    <w:p w14:paraId="64F5EA51">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bookmarkStart w:id="30" w:name="_Toc53867260"/>
      <w:r>
        <w:rPr>
          <w:rFonts w:hint="default" w:asciiTheme="minorAscii" w:hAnsiTheme="minorAscii" w:eastAsiaTheme="minorEastAsia"/>
          <w:sz w:val="24"/>
        </w:rPr>
        <w:t>(5)课程成绩录入</w:t>
      </w:r>
      <w:bookmarkEnd w:id="30"/>
    </w:p>
    <w:p w14:paraId="33D5CC50">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设置课程→综合成绩构成(到年级/专业(主修/辅修))：平时成绩(表现形式与所占比例)，中考成绩(表现形式与所占比例)，末考成绩(表现形式与所占比例)，技能成绩(表现形式与所占比例)。</w:t>
      </w:r>
    </w:p>
    <w:p w14:paraId="463346D5">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设置成绩录入时间区段：可统一设置录入成绩的起始日期与结束日期；还可依据考试安排及录入成绩天数、按课程自动设置相应的录入成绩时间区段。</w:t>
      </w:r>
    </w:p>
    <w:p w14:paraId="0879E55D">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设置课程成绩录入人：批量或者零散将任课教师、系/部教学秘书、承担单位教学秘书等设置为成绩录入人。</w:t>
      </w:r>
    </w:p>
    <w:p w14:paraId="7D5DA35F">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分行政班级按课程录入成绩</w:t>
      </w:r>
    </w:p>
    <w:p w14:paraId="43E6175B">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分课程按行政班级录入成绩</w:t>
      </w:r>
    </w:p>
    <w:p w14:paraId="1D0AC5A5">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分课程按上课班级录入成绩</w:t>
      </w:r>
    </w:p>
    <w:p w14:paraId="20C9258A">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分课程按年级/专业录入补考成绩</w:t>
      </w:r>
    </w:p>
    <w:p w14:paraId="29E32C2D">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bookmarkStart w:id="31" w:name="_Toc53867261"/>
      <w:r>
        <w:rPr>
          <w:rFonts w:hint="default" w:asciiTheme="minorAscii" w:hAnsiTheme="minorAscii" w:eastAsiaTheme="minorEastAsia"/>
          <w:sz w:val="24"/>
        </w:rPr>
        <w:t>(6)环节成绩录入</w:t>
      </w:r>
      <w:bookmarkEnd w:id="31"/>
    </w:p>
    <w:p w14:paraId="239DB5B0">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设置环节→成绩表现形式(到班级)</w:t>
      </w:r>
    </w:p>
    <w:p w14:paraId="2F1B105A">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设置成绩录入时间区段：可统一设置录入成绩的起始日期与结束日期</w:t>
      </w:r>
    </w:p>
    <w:p w14:paraId="20863F88">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设置环节成绩录入人：批量或者零散将指导教师、系/部教学秘书设置为成绩录入人</w:t>
      </w:r>
    </w:p>
    <w:p w14:paraId="7DC800BE">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分行政班级按环节录入成绩</w:t>
      </w:r>
    </w:p>
    <w:p w14:paraId="7309B924">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录入环节重修成绩</w:t>
      </w:r>
    </w:p>
    <w:p w14:paraId="16373C83">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bookmarkStart w:id="32" w:name="_Toc53867262"/>
      <w:r>
        <w:rPr>
          <w:rFonts w:hint="default" w:asciiTheme="minorAscii" w:hAnsiTheme="minorAscii" w:eastAsiaTheme="minorEastAsia"/>
          <w:sz w:val="24"/>
        </w:rPr>
        <w:t>(7)补录/删除/修改成绩</w:t>
      </w:r>
      <w:bookmarkEnd w:id="32"/>
    </w:p>
    <w:p w14:paraId="20B3056B">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bookmarkStart w:id="33" w:name="_Toc53867263"/>
      <w:r>
        <w:rPr>
          <w:rFonts w:hint="default" w:asciiTheme="minorAscii" w:hAnsiTheme="minorAscii" w:eastAsiaTheme="minorEastAsia"/>
          <w:sz w:val="24"/>
        </w:rPr>
        <w:t>(8)成绩认定</w:t>
      </w:r>
      <w:bookmarkEnd w:id="33"/>
    </w:p>
    <w:p w14:paraId="0CA832A6">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批量认定[原始成绩</w:t>
      </w:r>
      <w:r>
        <w:rPr>
          <w:rFonts w:hint="default" w:cs="宋体" w:asciiTheme="minorAscii" w:hAnsiTheme="minorAscii" w:eastAsiaTheme="minorEastAsia"/>
          <w:sz w:val="24"/>
        </w:rPr>
        <w:sym w:font="Symbol" w:char="F0AE"/>
      </w:r>
      <w:r>
        <w:rPr>
          <w:rFonts w:hint="default" w:cs="宋体" w:asciiTheme="minorAscii" w:hAnsiTheme="minorAscii" w:eastAsiaTheme="minorEastAsia"/>
          <w:sz w:val="24"/>
        </w:rPr>
        <w:t>有效成绩]：若某一学生的某一课程/环节仅有一个原始成绩，则原始成绩同时成为认定后的有效成绩；否则，最为有效的成绩成为认定后的有效成绩。</w:t>
      </w:r>
    </w:p>
    <w:p w14:paraId="0252EB9A">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查看[原始成绩</w:t>
      </w:r>
      <w:r>
        <w:rPr>
          <w:rFonts w:hint="default" w:cs="宋体" w:asciiTheme="minorAscii" w:hAnsiTheme="minorAscii" w:eastAsiaTheme="minorEastAsia"/>
          <w:sz w:val="24"/>
        </w:rPr>
        <w:sym w:font="Symbol" w:char="F0AE"/>
      </w:r>
      <w:r>
        <w:rPr>
          <w:rFonts w:hint="default" w:cs="宋体" w:asciiTheme="minorAscii" w:hAnsiTheme="minorAscii" w:eastAsiaTheme="minorEastAsia"/>
          <w:sz w:val="24"/>
        </w:rPr>
        <w:t>有效成绩]认定记录。</w:t>
      </w:r>
    </w:p>
    <w:p w14:paraId="6F761406">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逐个认定异动学生有效成绩：依据异动后年级/专业的培养方案，通过“直通认定”、“对应认定”、“任选处理”与“无效处理”四种方式，对异动学生异动前的成绩进行认定。</w:t>
      </w:r>
    </w:p>
    <w:p w14:paraId="586A7B00">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查看异动学生成绩认定记录。</w:t>
      </w:r>
    </w:p>
    <w:p w14:paraId="4FBCE9E1">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bookmarkStart w:id="34" w:name="_Toc53867264"/>
      <w:r>
        <w:rPr>
          <w:rFonts w:hint="default" w:asciiTheme="minorAscii" w:hAnsiTheme="minorAscii" w:eastAsiaTheme="minorEastAsia"/>
          <w:sz w:val="24"/>
        </w:rPr>
        <w:t>(9)成绩查询</w:t>
      </w:r>
      <w:bookmarkEnd w:id="34"/>
    </w:p>
    <w:p w14:paraId="0612D97A">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bCs/>
          <w:sz w:val="24"/>
        </w:rPr>
      </w:pPr>
      <w:r>
        <w:rPr>
          <w:rFonts w:hint="default" w:cs="宋体" w:asciiTheme="minorAscii" w:hAnsiTheme="minorAscii" w:eastAsiaTheme="minorEastAsia"/>
          <w:bCs/>
          <w:sz w:val="24"/>
        </w:rPr>
        <w:t>提供多维度多层次的成绩查询，如查看未交完成绩[原始]、打印学期成绩通知单[原始]、分行政班级按课程查看成绩[原始]</w:t>
      </w:r>
      <w:r>
        <w:rPr>
          <w:rFonts w:hint="default" w:cs="宋体" w:asciiTheme="minorAscii" w:hAnsiTheme="minorAscii" w:eastAsiaTheme="minorEastAsia"/>
          <w:bCs/>
          <w:sz w:val="24"/>
          <w:lang w:bidi="ar-DZ"/>
        </w:rPr>
        <w:t xml:space="preserve"> 、</w:t>
      </w:r>
      <w:r>
        <w:rPr>
          <w:rFonts w:hint="default" w:cs="宋体" w:asciiTheme="minorAscii" w:hAnsiTheme="minorAscii" w:eastAsiaTheme="minorEastAsia"/>
          <w:bCs/>
          <w:sz w:val="24"/>
        </w:rPr>
        <w:t>分行政班级按环节查看成绩[原始]</w:t>
      </w:r>
      <w:r>
        <w:rPr>
          <w:rFonts w:hint="default" w:cs="宋体" w:asciiTheme="minorAscii" w:hAnsiTheme="minorAscii" w:eastAsiaTheme="minorEastAsia"/>
          <w:bCs/>
          <w:sz w:val="24"/>
          <w:lang w:bidi="ar-DZ"/>
        </w:rPr>
        <w:t xml:space="preserve"> 、</w:t>
      </w:r>
      <w:r>
        <w:rPr>
          <w:rFonts w:hint="default" w:cs="宋体" w:asciiTheme="minorAscii" w:hAnsiTheme="minorAscii" w:eastAsiaTheme="minorEastAsia"/>
          <w:bCs/>
          <w:sz w:val="24"/>
        </w:rPr>
        <w:t>分课程按行政班级查看成绩[原始]、分课程按上课班级查看成绩[原始]</w:t>
      </w:r>
      <w:r>
        <w:rPr>
          <w:rFonts w:hint="default" w:cs="宋体" w:asciiTheme="minorAscii" w:hAnsiTheme="minorAscii" w:eastAsiaTheme="minorEastAsia"/>
          <w:bCs/>
          <w:sz w:val="24"/>
          <w:lang w:bidi="ar-DZ"/>
        </w:rPr>
        <w:t xml:space="preserve"> 、</w:t>
      </w:r>
      <w:r>
        <w:rPr>
          <w:rFonts w:hint="default" w:cs="宋体" w:asciiTheme="minorAscii" w:hAnsiTheme="minorAscii" w:eastAsiaTheme="minorEastAsia"/>
          <w:bCs/>
          <w:sz w:val="24"/>
        </w:rPr>
        <w:t>分课程按年级/专业查看补考成绩[原始]、查看环节重修成绩[原始]</w:t>
      </w:r>
      <w:r>
        <w:rPr>
          <w:rFonts w:hint="default" w:cs="宋体" w:asciiTheme="minorAscii" w:hAnsiTheme="minorAscii" w:eastAsiaTheme="minorEastAsia"/>
          <w:bCs/>
          <w:sz w:val="24"/>
          <w:lang w:bidi="ar-DZ"/>
        </w:rPr>
        <w:t xml:space="preserve"> 、</w:t>
      </w:r>
      <w:r>
        <w:rPr>
          <w:rFonts w:hint="default" w:cs="宋体" w:asciiTheme="minorAscii" w:hAnsiTheme="minorAscii" w:eastAsiaTheme="minorEastAsia"/>
          <w:bCs/>
          <w:sz w:val="24"/>
        </w:rPr>
        <w:t>查看考试未通过情况[原始/有效]、统计考试未通过情况[原始/有效]、分行政班级按课程/环节查看成绩[有效]、分行政班级按学年/学期查看成绩[有效]、打印学生成绩档案表[有效]。</w:t>
      </w:r>
      <w:r>
        <w:rPr>
          <w:rFonts w:hint="default" w:cs="宋体" w:asciiTheme="minorAscii" w:hAnsiTheme="minorAscii" w:eastAsiaTheme="minorEastAsia"/>
          <w:bCs/>
          <w:sz w:val="24"/>
          <w:lang w:bidi="ar-DZ"/>
        </w:rPr>
        <w:t xml:space="preserve"> </w:t>
      </w:r>
    </w:p>
    <w:p w14:paraId="743DE4F1">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bookmarkStart w:id="35" w:name="_Toc53867265"/>
      <w:r>
        <w:rPr>
          <w:rFonts w:hint="default" w:asciiTheme="minorAscii" w:hAnsiTheme="minorAscii" w:eastAsiaTheme="minorEastAsia"/>
          <w:sz w:val="24"/>
        </w:rPr>
        <w:t>(10)成绩分析</w:t>
      </w:r>
      <w:bookmarkEnd w:id="35"/>
    </w:p>
    <w:p w14:paraId="36A79B3D">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可分课程/环节按年级/专业查看学生成绩分布[原始/有效]、分行政班级按学生查看学业进展[有效]、学生成绩排名[有效] 。</w:t>
      </w:r>
    </w:p>
    <w:p w14:paraId="482FDB40">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 xml:space="preserve"> </w:t>
      </w:r>
    </w:p>
    <w:p w14:paraId="4323C9C2">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outlineLvl w:val="1"/>
        <w:rPr>
          <w:rFonts w:hint="default" w:asciiTheme="minorAscii" w:hAnsiTheme="minorAscii" w:eastAsiaTheme="minorEastAsia"/>
          <w:sz w:val="24"/>
        </w:rPr>
      </w:pPr>
      <w:r>
        <w:rPr>
          <w:rFonts w:hint="default" w:asciiTheme="minorAscii" w:hAnsiTheme="minorAscii" w:eastAsiaTheme="minorEastAsia"/>
          <w:sz w:val="24"/>
        </w:rPr>
        <w:t>14.毕业处理</w:t>
      </w:r>
    </w:p>
    <w:p w14:paraId="4E664FF1">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毕业处理是学生学业管理的最后一个环节，涉及到毕业与结业。</w:t>
      </w:r>
    </w:p>
    <w:p w14:paraId="2F28C1DA">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bookmarkStart w:id="36" w:name="_Toc53867328"/>
      <w:r>
        <w:rPr>
          <w:rFonts w:hint="default" w:asciiTheme="minorAscii" w:hAnsiTheme="minorAscii" w:eastAsiaTheme="minorEastAsia"/>
          <w:sz w:val="24"/>
        </w:rPr>
        <w:t>(1)设置毕业规定</w:t>
      </w:r>
      <w:bookmarkEnd w:id="36"/>
    </w:p>
    <w:p w14:paraId="53D450E3">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毕业规定涉及到按专业设置毕业要求课程/环节、按专业设置职业技能要求、设置影响毕业的处分类别、批量设置学生毕业规定；零散调整学生毕业规定等方面。</w:t>
      </w:r>
    </w:p>
    <w:p w14:paraId="37911F60">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bookmarkStart w:id="37" w:name="_Toc53867329"/>
      <w:r>
        <w:rPr>
          <w:rFonts w:hint="default" w:asciiTheme="minorAscii" w:hAnsiTheme="minorAscii" w:eastAsiaTheme="minorEastAsia"/>
          <w:sz w:val="24"/>
        </w:rPr>
        <w:t>(2)毕业审核</w:t>
      </w:r>
      <w:bookmarkEnd w:id="37"/>
    </w:p>
    <w:p w14:paraId="4B69AFDC">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支持依据设置的毕业规定，智能判断毕业学生、审核确认正常毕业学生与结业学生。</w:t>
      </w:r>
    </w:p>
    <w:p w14:paraId="072F15BC">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bookmarkStart w:id="38" w:name="_Toc53867330"/>
      <w:r>
        <w:rPr>
          <w:rFonts w:hint="default" w:asciiTheme="minorAscii" w:hAnsiTheme="minorAscii" w:eastAsiaTheme="minorEastAsia"/>
          <w:sz w:val="24"/>
        </w:rPr>
        <w:t>(3)毕业情况</w:t>
      </w:r>
      <w:bookmarkEnd w:id="38"/>
    </w:p>
    <w:p w14:paraId="63538FBD">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能够查看毕业学生名册、查看结业学生名册、打印毕业生档案、统计分析毕业学生情况。</w:t>
      </w:r>
    </w:p>
    <w:p w14:paraId="74D8A22C">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outlineLvl w:val="1"/>
        <w:rPr>
          <w:rFonts w:hint="default" w:asciiTheme="minorAscii" w:hAnsiTheme="minorAscii" w:eastAsiaTheme="minorEastAsia"/>
          <w:sz w:val="24"/>
        </w:rPr>
      </w:pPr>
      <w:r>
        <w:rPr>
          <w:rFonts w:hint="default" w:asciiTheme="minorAscii" w:hAnsiTheme="minorAscii" w:eastAsiaTheme="minorEastAsia"/>
          <w:sz w:val="24"/>
        </w:rPr>
        <w:t>15. 移动服务</w:t>
      </w:r>
    </w:p>
    <w:p w14:paraId="12F29294">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asciiTheme="minorAscii" w:hAnsiTheme="minorAscii" w:eastAsiaTheme="minorEastAsia"/>
          <w:sz w:val="24"/>
        </w:rPr>
        <w:t>包括我的课表、教室课表、班级课表、空闲教室、考试安排、监考安排、上课点名、学业成绩、查看培养方案、教学任务、教学工作量、常用电话、场馆开放时间、作息时间、校历查询、校车时刻表、资讯、学生评教、问卷调查、学业进展等。</w:t>
      </w:r>
    </w:p>
    <w:p w14:paraId="79AC56A8">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outlineLvl w:val="1"/>
        <w:rPr>
          <w:rFonts w:hint="default" w:asciiTheme="minorAscii" w:hAnsiTheme="minorAscii" w:eastAsiaTheme="minorEastAsia"/>
          <w:sz w:val="24"/>
        </w:rPr>
      </w:pPr>
      <w:bookmarkStart w:id="39" w:name="_Toc493084902"/>
      <w:r>
        <w:rPr>
          <w:rFonts w:hint="default" w:asciiTheme="minorAscii" w:hAnsiTheme="minorAscii" w:eastAsiaTheme="minorEastAsia"/>
          <w:sz w:val="24"/>
        </w:rPr>
        <w:t>16.班主任考评</w:t>
      </w:r>
    </w:p>
    <w:p w14:paraId="236D25D6">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sz w:val="24"/>
        </w:rPr>
      </w:pPr>
      <w:r>
        <w:rPr>
          <w:rFonts w:hint="default" w:cs="宋体" w:asciiTheme="minorAscii" w:hAnsiTheme="minorAscii"/>
          <w:sz w:val="24"/>
        </w:rPr>
        <w:t>学校班主任的考评工作是提升班主任</w:t>
      </w:r>
      <w:r>
        <w:rPr>
          <w:rFonts w:hint="default" w:asciiTheme="minorAscii" w:hAnsiTheme="minorAscii"/>
        </w:rPr>
        <w:fldChar w:fldCharType="begin"/>
      </w:r>
      <w:r>
        <w:rPr>
          <w:rFonts w:hint="default" w:asciiTheme="minorAscii" w:hAnsiTheme="minorAscii"/>
        </w:rPr>
        <w:instrText xml:space="preserve"> HYPERLINK "http://www.studa.net/Politics/" </w:instrText>
      </w:r>
      <w:r>
        <w:rPr>
          <w:rFonts w:hint="default" w:asciiTheme="minorAscii" w:hAnsiTheme="minorAscii"/>
        </w:rPr>
        <w:fldChar w:fldCharType="separate"/>
      </w:r>
      <w:r>
        <w:rPr>
          <w:rFonts w:hint="default" w:cs="宋体" w:asciiTheme="minorAscii" w:hAnsiTheme="minorAscii"/>
          <w:sz w:val="24"/>
        </w:rPr>
        <w:t>政治</w:t>
      </w:r>
      <w:r>
        <w:rPr>
          <w:rFonts w:hint="default" w:cs="宋体" w:asciiTheme="minorAscii" w:hAnsiTheme="minorAscii"/>
          <w:sz w:val="24"/>
        </w:rPr>
        <w:fldChar w:fldCharType="end"/>
      </w:r>
      <w:r>
        <w:rPr>
          <w:rFonts w:hint="default" w:cs="宋体" w:asciiTheme="minorAscii" w:hAnsiTheme="minorAscii"/>
          <w:sz w:val="24"/>
        </w:rPr>
        <w:t>素质、专业水平和职业能力的重要保障，是加强学校班主任队伍职业化建设的重要举措，对于学校人才培养具有深远的意义。</w:t>
      </w:r>
    </w:p>
    <w:p w14:paraId="5E3D1436">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sz w:val="24"/>
        </w:rPr>
      </w:pPr>
      <w:bookmarkStart w:id="40" w:name="_Toc53867318"/>
      <w:r>
        <w:rPr>
          <w:rFonts w:hint="default" w:asciiTheme="minorAscii" w:hAnsiTheme="minorAscii"/>
          <w:sz w:val="24"/>
        </w:rPr>
        <w:t>(1)设置评价参数</w:t>
      </w:r>
      <w:bookmarkEnd w:id="40"/>
    </w:p>
    <w:p w14:paraId="56F3FB38">
      <w:pPr>
        <w:keepNext w:val="0"/>
        <w:keepLines w:val="0"/>
        <w:pageBreakBefore w:val="0"/>
        <w:widowControl w:val="0"/>
        <w:kinsoku/>
        <w:wordWrap/>
        <w:overflowPunct/>
        <w:topLinePunct w:val="0"/>
        <w:bidi w:val="0"/>
        <w:adjustRightInd w:val="0"/>
        <w:snapToGrid w:val="0"/>
        <w:spacing w:line="360" w:lineRule="auto"/>
        <w:ind w:firstLine="489" w:firstLineChars="204"/>
        <w:jc w:val="both"/>
        <w:textAlignment w:val="auto"/>
        <w:rPr>
          <w:rFonts w:hint="default" w:cs="宋体" w:asciiTheme="minorAscii" w:hAnsiTheme="minorAscii"/>
          <w:sz w:val="24"/>
        </w:rPr>
      </w:pPr>
      <w:r>
        <w:rPr>
          <w:rFonts w:hint="default" w:cs="宋体" w:asciiTheme="minorAscii" w:hAnsiTheme="minorAscii"/>
          <w:bCs/>
          <w:sz w:val="24"/>
        </w:rPr>
        <w:t>支持设置评价时间区段的设置、评价主体的灵活定义</w:t>
      </w:r>
      <w:r>
        <w:rPr>
          <w:rFonts w:hint="default" w:cs="宋体" w:asciiTheme="minorAscii" w:hAnsiTheme="minorAscii"/>
          <w:sz w:val="24"/>
        </w:rPr>
        <w:t>含教师、学生、学生干部、管理人员等；</w:t>
      </w:r>
    </w:p>
    <w:p w14:paraId="6F318712">
      <w:pPr>
        <w:keepNext w:val="0"/>
        <w:keepLines w:val="0"/>
        <w:pageBreakBefore w:val="0"/>
        <w:widowControl w:val="0"/>
        <w:kinsoku/>
        <w:wordWrap/>
        <w:overflowPunct/>
        <w:topLinePunct w:val="0"/>
        <w:bidi w:val="0"/>
        <w:adjustRightInd w:val="0"/>
        <w:snapToGrid w:val="0"/>
        <w:spacing w:line="360" w:lineRule="auto"/>
        <w:ind w:firstLine="489" w:firstLineChars="204"/>
        <w:jc w:val="both"/>
        <w:textAlignment w:val="auto"/>
        <w:rPr>
          <w:rFonts w:hint="default" w:cs="宋体" w:asciiTheme="minorAscii" w:hAnsiTheme="minorAscii"/>
          <w:sz w:val="24"/>
        </w:rPr>
      </w:pPr>
      <w:r>
        <w:rPr>
          <w:rFonts w:hint="default" w:cs="宋体" w:asciiTheme="minorAscii" w:hAnsiTheme="minorAscii"/>
          <w:sz w:val="24"/>
        </w:rPr>
        <w:t>支持评价主题权重的灵活设置、评价主体成员及评价范围的灵活定义。</w:t>
      </w:r>
    </w:p>
    <w:p w14:paraId="4B908286">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sz w:val="24"/>
        </w:rPr>
      </w:pPr>
      <w:bookmarkStart w:id="41" w:name="_Toc53867319"/>
      <w:r>
        <w:rPr>
          <w:rFonts w:hint="default" w:asciiTheme="minorAscii" w:hAnsiTheme="minorAscii"/>
          <w:sz w:val="24"/>
        </w:rPr>
        <w:t>(2)设置评价指标体系</w:t>
      </w:r>
      <w:bookmarkEnd w:id="41"/>
    </w:p>
    <w:p w14:paraId="505B4F5F">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sz w:val="24"/>
        </w:rPr>
      </w:pPr>
      <w:r>
        <w:rPr>
          <w:rFonts w:hint="default" w:cs="宋体" w:asciiTheme="minorAscii" w:hAnsiTheme="minorAscii"/>
          <w:sz w:val="24"/>
        </w:rPr>
        <w:t>支持评价指标等级的建设，能够设置评价一级指标、设置评价指标体系、复制评价指标体系(评价主体间)。</w:t>
      </w:r>
    </w:p>
    <w:p w14:paraId="41C5C334">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sz w:val="24"/>
        </w:rPr>
      </w:pPr>
      <w:bookmarkStart w:id="42" w:name="_Toc53867320"/>
      <w:r>
        <w:rPr>
          <w:rFonts w:hint="default" w:asciiTheme="minorAscii" w:hAnsiTheme="minorAscii"/>
          <w:sz w:val="24"/>
        </w:rPr>
        <w:t>(3)评价班主任</w:t>
      </w:r>
      <w:bookmarkEnd w:id="42"/>
    </w:p>
    <w:p w14:paraId="5FED7E60">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bCs/>
          <w:sz w:val="24"/>
        </w:rPr>
      </w:pPr>
      <w:r>
        <w:rPr>
          <w:rFonts w:hint="default" w:cs="宋体" w:asciiTheme="minorAscii" w:hAnsiTheme="minorAscii"/>
          <w:sz w:val="24"/>
        </w:rPr>
        <w:t>各评价主体在指定时间内提交相应评价结果</w:t>
      </w:r>
    </w:p>
    <w:p w14:paraId="05200DD9">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sz w:val="24"/>
        </w:rPr>
      </w:pPr>
      <w:bookmarkStart w:id="43" w:name="_Toc53867321"/>
      <w:r>
        <w:rPr>
          <w:rFonts w:hint="default" w:asciiTheme="minorAscii" w:hAnsiTheme="minorAscii"/>
          <w:sz w:val="24"/>
        </w:rPr>
        <w:t>(4)评价结果</w:t>
      </w:r>
      <w:bookmarkEnd w:id="43"/>
    </w:p>
    <w:p w14:paraId="366EE976">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bCs/>
          <w:sz w:val="24"/>
        </w:rPr>
        <w:t>分部门按班主任查看评价结果；按评价结果查看班主任排名；统计参评情况。</w:t>
      </w:r>
      <w:bookmarkEnd w:id="39"/>
    </w:p>
    <w:p w14:paraId="77D00ADD">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outlineLvl w:val="1"/>
        <w:rPr>
          <w:rFonts w:hint="default" w:asciiTheme="minorAscii" w:hAnsiTheme="minorAscii" w:eastAsiaTheme="minorEastAsia"/>
          <w:sz w:val="24"/>
        </w:rPr>
      </w:pPr>
      <w:bookmarkStart w:id="44" w:name="_Toc15911"/>
      <w:bookmarkStart w:id="45" w:name="_Toc493084914"/>
      <w:r>
        <w:rPr>
          <w:rFonts w:hint="default" w:asciiTheme="minorAscii" w:hAnsiTheme="minorAscii" w:eastAsiaTheme="minorEastAsia"/>
          <w:sz w:val="24"/>
        </w:rPr>
        <w:t>17.用户权限</w:t>
      </w:r>
      <w:bookmarkEnd w:id="44"/>
      <w:bookmarkEnd w:id="45"/>
    </w:p>
    <w:p w14:paraId="273BA3BB">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bCs/>
          <w:sz w:val="24"/>
        </w:rPr>
        <w:t>二级管理员可以灵活地管理用户权限。</w:t>
      </w:r>
    </w:p>
    <w:p w14:paraId="2F1D1E6F">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bCs/>
          <w:sz w:val="24"/>
        </w:rPr>
      </w:pPr>
      <w:r>
        <w:rPr>
          <w:rFonts w:hint="default" w:cs="宋体" w:asciiTheme="minorAscii" w:hAnsiTheme="minorAscii" w:eastAsiaTheme="minorEastAsia"/>
          <w:bCs/>
          <w:sz w:val="24"/>
        </w:rPr>
        <w:t>菜单项</w:t>
      </w:r>
      <w:r>
        <w:rPr>
          <w:rFonts w:hint="default" w:cs="宋体" w:asciiTheme="minorAscii" w:hAnsiTheme="minorAscii" w:eastAsiaTheme="minorEastAsia"/>
          <w:bCs/>
          <w:sz w:val="24"/>
        </w:rPr>
        <w:sym w:font="Symbol" w:char="F0AE"/>
      </w:r>
      <w:r>
        <w:rPr>
          <w:rFonts w:hint="default" w:cs="宋体" w:asciiTheme="minorAscii" w:hAnsiTheme="minorAscii" w:eastAsiaTheme="minorEastAsia"/>
          <w:bCs/>
          <w:sz w:val="24"/>
        </w:rPr>
        <w:t>角色：为已定义的角色分别赋予相应的菜单项。</w:t>
      </w:r>
    </w:p>
    <w:p w14:paraId="5DBACF95">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bCs/>
          <w:sz w:val="24"/>
        </w:rPr>
      </w:pPr>
      <w:r>
        <w:rPr>
          <w:rFonts w:hint="default" w:cs="宋体" w:asciiTheme="minorAscii" w:hAnsiTheme="minorAscii" w:eastAsiaTheme="minorEastAsia"/>
          <w:bCs/>
          <w:sz w:val="24"/>
        </w:rPr>
        <w:t>角色→用户：为已定义的用户分别赋予相应角色。</w:t>
      </w:r>
    </w:p>
    <w:p w14:paraId="27332B96">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bCs/>
          <w:sz w:val="24"/>
        </w:rPr>
      </w:pPr>
      <w:r>
        <w:rPr>
          <w:rFonts w:hint="default" w:cs="宋体" w:asciiTheme="minorAscii" w:hAnsiTheme="minorAscii" w:eastAsiaTheme="minorEastAsia"/>
          <w:bCs/>
          <w:sz w:val="24"/>
        </w:rPr>
        <w:t>校区→用户/角色：为已定义的用户/角色赋予相应的校区。</w:t>
      </w:r>
    </w:p>
    <w:p w14:paraId="3D658961">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bCs/>
          <w:sz w:val="24"/>
        </w:rPr>
      </w:pPr>
      <w:r>
        <w:rPr>
          <w:rFonts w:hint="default" w:cs="宋体" w:asciiTheme="minorAscii" w:hAnsiTheme="minorAscii" w:eastAsiaTheme="minorEastAsia"/>
          <w:bCs/>
          <w:sz w:val="24"/>
        </w:rPr>
        <w:t>部门→用户/角色：为已定义的用户/角色赋予相应的部门。</w:t>
      </w:r>
    </w:p>
    <w:p w14:paraId="0DB3A3A1">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bCs/>
          <w:sz w:val="24"/>
        </w:rPr>
      </w:pPr>
      <w:r>
        <w:rPr>
          <w:rFonts w:hint="default" w:cs="宋体" w:asciiTheme="minorAscii" w:hAnsiTheme="minorAscii" w:eastAsiaTheme="minorEastAsia"/>
          <w:bCs/>
          <w:sz w:val="24"/>
        </w:rPr>
        <w:t>承担单位→用户/角色：为已定义的用户/角色赋予相应的承担单位。</w:t>
      </w:r>
    </w:p>
    <w:p w14:paraId="71E45BE0">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bCs/>
          <w:sz w:val="24"/>
        </w:rPr>
      </w:pPr>
      <w:r>
        <w:rPr>
          <w:rFonts w:hint="default" w:cs="宋体" w:asciiTheme="minorAscii" w:hAnsiTheme="minorAscii" w:eastAsiaTheme="minorEastAsia"/>
          <w:bCs/>
          <w:sz w:val="24"/>
        </w:rPr>
        <w:t>查看用户权限：按角色或按用户，分别浏览学生、教师与管理人员的权限。</w:t>
      </w:r>
    </w:p>
    <w:p w14:paraId="4D4F820F">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outlineLvl w:val="1"/>
        <w:rPr>
          <w:rFonts w:hint="default" w:asciiTheme="minorAscii" w:hAnsiTheme="minorAscii" w:eastAsiaTheme="minorEastAsia"/>
          <w:sz w:val="24"/>
        </w:rPr>
      </w:pPr>
      <w:bookmarkStart w:id="46" w:name="_Toc18697"/>
      <w:r>
        <w:rPr>
          <w:rFonts w:hint="default" w:asciiTheme="minorAscii" w:hAnsiTheme="minorAscii" w:eastAsiaTheme="minorEastAsia"/>
          <w:sz w:val="24"/>
        </w:rPr>
        <w:t>18.平台管理</w:t>
      </w:r>
      <w:bookmarkEnd w:id="46"/>
    </w:p>
    <w:p w14:paraId="2753B47C">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r>
        <w:rPr>
          <w:rFonts w:hint="default" w:asciiTheme="minorAscii" w:hAnsiTheme="minorAscii" w:eastAsiaTheme="minorEastAsia"/>
          <w:sz w:val="24"/>
        </w:rPr>
        <w:t>(1)信息标准</w:t>
      </w:r>
    </w:p>
    <w:p w14:paraId="16688355">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bCs/>
          <w:sz w:val="24"/>
        </w:rPr>
      </w:pPr>
      <w:bookmarkStart w:id="47" w:name="_Toc298351045"/>
      <w:r>
        <w:rPr>
          <w:rFonts w:hint="default" w:cs="宋体" w:asciiTheme="minorAscii" w:hAnsiTheme="minorAscii" w:eastAsiaTheme="minorEastAsia"/>
          <w:bCs/>
          <w:sz w:val="24"/>
        </w:rPr>
        <w:t>平台依据《国家教育部教育管理信息化标准》和若干强制性约束封装的标准代码(标识为红色)不可修改或删除；平台管理员可以根据教学管理需要新增、修改或删除其它标准代码。</w:t>
      </w:r>
    </w:p>
    <w:bookmarkEnd w:id="47"/>
    <w:p w14:paraId="6FFF19E6">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r>
        <w:rPr>
          <w:rFonts w:hint="default" w:asciiTheme="minorAscii" w:hAnsiTheme="minorAscii" w:eastAsiaTheme="minorEastAsia"/>
          <w:sz w:val="24"/>
        </w:rPr>
        <w:t>(1)初始化用户密码</w:t>
      </w:r>
    </w:p>
    <w:p w14:paraId="5203EC17">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平台管理员可以方便快速地初始化用户密码为指定密码、关联密码。</w:t>
      </w:r>
    </w:p>
    <w:p w14:paraId="04934915">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bookmarkStart w:id="48" w:name="_Toc493084920"/>
      <w:r>
        <w:rPr>
          <w:rFonts w:hint="default" w:asciiTheme="minorAscii" w:hAnsiTheme="minorAscii" w:eastAsiaTheme="minorEastAsia"/>
          <w:sz w:val="24"/>
        </w:rPr>
        <w:t>(2)二级授权</w:t>
      </w:r>
      <w:bookmarkEnd w:id="48"/>
      <w:bookmarkStart w:id="49" w:name="_Toc303171589"/>
      <w:bookmarkStart w:id="50" w:name="_Toc357438484"/>
    </w:p>
    <w:p w14:paraId="503DA32C">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参照管理工作的岗位设置，为管理人员定义若干角色和系统管理员，并为相应系统管理员设置角色范围、功能范围和数据范围。</w:t>
      </w:r>
    </w:p>
    <w:p w14:paraId="44B8F3C9">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bookmarkStart w:id="51" w:name="_Toc493084921"/>
      <w:r>
        <w:rPr>
          <w:rFonts w:hint="default" w:asciiTheme="minorAscii" w:hAnsiTheme="minorAscii" w:eastAsiaTheme="minorEastAsia"/>
          <w:sz w:val="24"/>
        </w:rPr>
        <w:t>(3)访问控制</w:t>
      </w:r>
      <w:bookmarkEnd w:id="51"/>
    </w:p>
    <w:p w14:paraId="266E233C">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通过拒绝IP、绑定IP、限制时间、限制用户，平台管理员可以灵活地控制用户访问。</w:t>
      </w:r>
    </w:p>
    <w:bookmarkEnd w:id="49"/>
    <w:bookmarkEnd w:id="50"/>
    <w:p w14:paraId="57B5AF64">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bookmarkStart w:id="52" w:name="_Toc357438483"/>
      <w:bookmarkStart w:id="53" w:name="_Toc493084923"/>
      <w:bookmarkStart w:id="54" w:name="_Toc303171588"/>
      <w:bookmarkStart w:id="55" w:name="_Toc357438482"/>
      <w:bookmarkStart w:id="56" w:name="_Toc298351050"/>
      <w:bookmarkStart w:id="57" w:name="_Toc298351049"/>
      <w:r>
        <w:rPr>
          <w:rFonts w:hint="default" w:asciiTheme="minorAscii" w:hAnsiTheme="minorAscii" w:eastAsiaTheme="minorEastAsia"/>
          <w:sz w:val="24"/>
        </w:rPr>
        <w:t>(4)控制参数</w:t>
      </w:r>
      <w:bookmarkEnd w:id="52"/>
      <w:bookmarkEnd w:id="53"/>
    </w:p>
    <w:p w14:paraId="09CF9587">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通过设置各项控制参数，构建一个管理控制平台，保障平台正常运行；通过联接各级管理人员、教职工与学生，协同完成相应管理工作。</w:t>
      </w:r>
    </w:p>
    <w:bookmarkEnd w:id="54"/>
    <w:bookmarkEnd w:id="55"/>
    <w:bookmarkEnd w:id="56"/>
    <w:p w14:paraId="30B20E59">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r>
        <w:rPr>
          <w:rFonts w:hint="default" w:asciiTheme="minorAscii" w:hAnsiTheme="minorAscii" w:eastAsiaTheme="minorEastAsia"/>
          <w:sz w:val="24"/>
        </w:rPr>
        <w:t>(5)数据导入</w:t>
      </w:r>
    </w:p>
    <w:p w14:paraId="1630EBD6">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可以灵活、方便地将有关数据批量导入平台，涉及到部门、专业、班级、教职工、教学场地、课程/环节、培养方案、开课计划、学生、学生成绩、教材等信息。</w:t>
      </w:r>
    </w:p>
    <w:p w14:paraId="284052FF">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bookmarkStart w:id="58" w:name="_Toc493084917"/>
      <w:bookmarkStart w:id="59" w:name="_Toc298351047"/>
      <w:bookmarkStart w:id="60" w:name="_Toc357438479"/>
      <w:r>
        <w:rPr>
          <w:rFonts w:hint="default" w:asciiTheme="minorAscii" w:hAnsiTheme="minorAscii" w:eastAsiaTheme="minorEastAsia"/>
          <w:sz w:val="24"/>
        </w:rPr>
        <w:t>(7)教学管理工作进程</w:t>
      </w:r>
      <w:bookmarkEnd w:id="58"/>
      <w:bookmarkEnd w:id="59"/>
      <w:bookmarkEnd w:id="60"/>
    </w:p>
    <w:p w14:paraId="1F064B2E">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设置教学工作任务执行的起止周次。</w:t>
      </w:r>
    </w:p>
    <w:bookmarkEnd w:id="57"/>
    <w:p w14:paraId="17B89214">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bookmarkStart w:id="61" w:name="_Toc357438487"/>
      <w:bookmarkStart w:id="62" w:name="_Toc298351051"/>
      <w:bookmarkStart w:id="63" w:name="_Toc493084929"/>
      <w:r>
        <w:rPr>
          <w:rFonts w:hint="default" w:asciiTheme="minorAscii" w:hAnsiTheme="minorAscii" w:eastAsiaTheme="minorEastAsia"/>
          <w:sz w:val="24"/>
        </w:rPr>
        <w:t>(8)平台日志</w:t>
      </w:r>
      <w:bookmarkEnd w:id="61"/>
      <w:bookmarkEnd w:id="62"/>
      <w:bookmarkEnd w:id="63"/>
    </w:p>
    <w:p w14:paraId="292DE965">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asciiTheme="minorAscii" w:hAnsiTheme="minorAscii" w:eastAsiaTheme="minorEastAsia"/>
          <w:sz w:val="24"/>
        </w:rPr>
      </w:pPr>
      <w:r>
        <w:rPr>
          <w:rFonts w:hint="default" w:cs="宋体" w:asciiTheme="minorAscii" w:hAnsiTheme="minorAscii" w:eastAsiaTheme="minorEastAsia"/>
          <w:sz w:val="24"/>
        </w:rPr>
        <w:t>平台管理员可以查看用户操作日志、数据操作日志、在线消息发送日志、在线消息接收日志、在线用户列表。</w:t>
      </w:r>
    </w:p>
    <w:p w14:paraId="34303E4E">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outlineLvl w:val="1"/>
        <w:rPr>
          <w:rFonts w:hint="default" w:asciiTheme="minorAscii" w:hAnsiTheme="minorAscii" w:eastAsiaTheme="minorEastAsia"/>
          <w:sz w:val="24"/>
        </w:rPr>
      </w:pPr>
      <w:bookmarkStart w:id="64" w:name="_Toc24130"/>
      <w:r>
        <w:rPr>
          <w:rFonts w:hint="default" w:asciiTheme="minorAscii" w:hAnsiTheme="minorAscii" w:eastAsiaTheme="minorEastAsia"/>
          <w:sz w:val="24"/>
        </w:rPr>
        <w:t>19.学生应用</w:t>
      </w:r>
      <w:bookmarkEnd w:id="64"/>
    </w:p>
    <w:p w14:paraId="0AD1DEB8">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学生应用包括个人桌面、学籍信息、培养方案、网上选课、教学安排、考试安排等。</w:t>
      </w:r>
      <w:bookmarkStart w:id="65" w:name="_Toc8466"/>
      <w:bookmarkStart w:id="66" w:name="_Toc493084913"/>
    </w:p>
    <w:p w14:paraId="30800ECE">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outlineLvl w:val="1"/>
        <w:rPr>
          <w:rFonts w:hint="default" w:asciiTheme="minorAscii" w:hAnsiTheme="minorAscii" w:eastAsiaTheme="minorEastAsia"/>
          <w:sz w:val="24"/>
        </w:rPr>
      </w:pPr>
      <w:r>
        <w:rPr>
          <w:rFonts w:hint="default" w:asciiTheme="minorAscii" w:hAnsiTheme="minorAscii" w:eastAsiaTheme="minorEastAsia"/>
          <w:sz w:val="24"/>
        </w:rPr>
        <w:t>20.教师应用</w:t>
      </w:r>
      <w:bookmarkEnd w:id="65"/>
      <w:bookmarkEnd w:id="66"/>
      <w:bookmarkStart w:id="67" w:name="_Toc155870667"/>
      <w:bookmarkStart w:id="68" w:name="_Toc194217456"/>
      <w:bookmarkStart w:id="69" w:name="_Toc268329060"/>
      <w:bookmarkStart w:id="70" w:name="_Toc268354663"/>
      <w:bookmarkStart w:id="71" w:name="_Toc268275688"/>
      <w:bookmarkStart w:id="72" w:name="_Toc194457993"/>
      <w:bookmarkStart w:id="73" w:name="_Toc194222105"/>
      <w:bookmarkStart w:id="74" w:name="_Toc196907766"/>
      <w:bookmarkStart w:id="75" w:name="_Toc309754508"/>
      <w:bookmarkStart w:id="76" w:name="_Toc196724108"/>
    </w:p>
    <w:bookmarkEnd w:id="67"/>
    <w:bookmarkEnd w:id="68"/>
    <w:bookmarkEnd w:id="69"/>
    <w:bookmarkEnd w:id="70"/>
    <w:bookmarkEnd w:id="71"/>
    <w:bookmarkEnd w:id="72"/>
    <w:bookmarkEnd w:id="73"/>
    <w:bookmarkEnd w:id="74"/>
    <w:bookmarkEnd w:id="75"/>
    <w:bookmarkEnd w:id="76"/>
    <w:p w14:paraId="29A1F795">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教师应用包括个人桌面、个人档案、教学任务、教学安排、考试安排、成绩录入、教学评价等。</w:t>
      </w:r>
    </w:p>
    <w:p w14:paraId="27A7C153">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outlineLvl w:val="1"/>
        <w:rPr>
          <w:rFonts w:hint="default" w:asciiTheme="minorAscii" w:hAnsiTheme="minorAscii" w:eastAsiaTheme="minorEastAsia"/>
          <w:sz w:val="24"/>
        </w:rPr>
      </w:pPr>
      <w:r>
        <w:rPr>
          <w:rFonts w:hint="default" w:asciiTheme="minorAscii" w:hAnsiTheme="minorAscii" w:eastAsiaTheme="minorEastAsia"/>
          <w:sz w:val="24"/>
        </w:rPr>
        <w:t>21、客户服务管理平台</w:t>
      </w:r>
    </w:p>
    <w:p w14:paraId="60899157">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sz w:val="24"/>
        </w:rPr>
      </w:pPr>
      <w:r>
        <w:rPr>
          <w:rFonts w:hint="default" w:cs="宋体" w:asciiTheme="minorAscii" w:hAnsiTheme="minorAscii"/>
          <w:sz w:val="24"/>
        </w:rPr>
        <w:t>(1)系统管理员可依托平台进行多应用服务器的配置与维护。</w:t>
      </w:r>
    </w:p>
    <w:p w14:paraId="0E66BD6A">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sz w:val="24"/>
        </w:rPr>
      </w:pPr>
      <w:r>
        <w:rPr>
          <w:rFonts w:hint="default" w:cs="宋体" w:asciiTheme="minorAscii" w:hAnsiTheme="minorAscii"/>
          <w:sz w:val="24"/>
        </w:rPr>
        <w:t>(2)平台能自动检测到已发布的更新包并自动下载到学校的版本控制服务器。</w:t>
      </w:r>
    </w:p>
    <w:p w14:paraId="2ADEA3F9">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sz w:val="24"/>
        </w:rPr>
      </w:pPr>
      <w:r>
        <w:rPr>
          <w:rFonts w:hint="default" w:cs="宋体" w:asciiTheme="minorAscii" w:hAnsiTheme="minorAscii"/>
          <w:sz w:val="24"/>
        </w:rPr>
        <w:t>(3)可以通过平台进行更新包更新，所有的应用服务器同步更新程序文件，更新内容即时生效。</w:t>
      </w:r>
    </w:p>
    <w:p w14:paraId="503FEAF9">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sz w:val="24"/>
        </w:rPr>
      </w:pPr>
      <w:r>
        <w:rPr>
          <w:rFonts w:hint="default" w:cs="宋体" w:asciiTheme="minorAscii" w:hAnsiTheme="minorAscii"/>
          <w:sz w:val="24"/>
        </w:rPr>
        <w:t>(4)可以智能反馈更新日志到平台,并记录更新全过程。</w:t>
      </w:r>
    </w:p>
    <w:p w14:paraId="5F5F1138">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sz w:val="24"/>
        </w:rPr>
      </w:pPr>
      <w:r>
        <w:rPr>
          <w:rFonts w:hint="default" w:cs="宋体" w:asciiTheme="minorAscii" w:hAnsiTheme="minorAscii"/>
          <w:sz w:val="24"/>
        </w:rPr>
        <w:t>(5)支持对用户登录、活跃用户、系统功能使用情况、功能访问排行等信息进行分析，并提供相应的图表。</w:t>
      </w:r>
    </w:p>
    <w:p w14:paraId="4773FABF">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22、智能监测运维平台。</w:t>
      </w:r>
    </w:p>
    <w:p w14:paraId="3CFC1604">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default" w:cs="宋体" w:asciiTheme="minorAscii" w:hAnsiTheme="minorAscii" w:eastAsiaTheme="minorEastAsia"/>
          <w:sz w:val="24"/>
        </w:rPr>
      </w:pPr>
      <w:r>
        <w:rPr>
          <w:rFonts w:hint="default" w:cs="宋体" w:asciiTheme="minorAscii" w:hAnsiTheme="minorAscii" w:eastAsiaTheme="minorEastAsia"/>
          <w:sz w:val="24"/>
        </w:rPr>
        <w:t xml:space="preserve">须能提供完整的数据大盘监控，展示各类资源使用状态、WEB应用请求量、响应时间和API调用次数与耗时等关键指标；须能支持实时监控应用服务的每次运行、每个异常及慢SQL；须能提供完整的平台日志记录功能，支持采集不同服务器不同应用服务产生的用户登录、功能访问、数据操作和WEB应用请求等各类日志信息，可提供系统流量、功能访问排名等多种数据分析图表。 </w:t>
      </w:r>
    </w:p>
    <w:p w14:paraId="34A6C3E8">
      <w:pPr>
        <w:keepNext w:val="0"/>
        <w:keepLines w:val="0"/>
        <w:pageBreakBefore w:val="0"/>
        <w:widowControl w:val="0"/>
        <w:kinsoku/>
        <w:wordWrap/>
        <w:overflowPunct/>
        <w:topLinePunct w:val="0"/>
        <w:bidi w:val="0"/>
        <w:jc w:val="both"/>
        <w:textAlignment w:val="auto"/>
        <w:rPr>
          <w:rFonts w:hint="default" w:asciiTheme="minorAscii" w:hAnsiTheme="minorAscii"/>
          <w:lang w:val="en-US" w:eastAsia="zh-CN"/>
        </w:rPr>
      </w:pPr>
    </w:p>
    <w:p w14:paraId="621656F5">
      <w:pPr>
        <w:keepNext w:val="0"/>
        <w:keepLines w:val="0"/>
        <w:pageBreakBefore w:val="0"/>
        <w:widowControl w:val="0"/>
        <w:kinsoku/>
        <w:wordWrap/>
        <w:overflowPunct/>
        <w:topLinePunct w:val="0"/>
        <w:bidi w:val="0"/>
        <w:jc w:val="both"/>
        <w:textAlignment w:val="auto"/>
        <w:rPr>
          <w:rFonts w:hint="default" w:asciiTheme="minorAscii" w:hAnsiTheme="minorAscii" w:eastAsiaTheme="minorEastAsia" w:cstheme="minorBidi"/>
          <w:kern w:val="2"/>
          <w:sz w:val="21"/>
          <w:szCs w:val="22"/>
          <w:lang w:val="en-US" w:eastAsia="zh-CN" w:bidi="ar-SA"/>
        </w:rPr>
      </w:pPr>
    </w:p>
    <w:p w14:paraId="5D06E4A0">
      <w:pPr>
        <w:keepNext w:val="0"/>
        <w:keepLines w:val="0"/>
        <w:pageBreakBefore w:val="0"/>
        <w:widowControl w:val="0"/>
        <w:kinsoku/>
        <w:wordWrap/>
        <w:overflowPunct/>
        <w:topLinePunct w:val="0"/>
        <w:bidi w:val="0"/>
        <w:jc w:val="both"/>
        <w:textAlignment w:val="auto"/>
        <w:rPr>
          <w:rFonts w:hint="default" w:asciiTheme="minorAscii" w:hAnsiTheme="minorAscii"/>
          <w:lang w:val="en-US" w:eastAsia="zh-CN"/>
        </w:rPr>
      </w:pPr>
    </w:p>
    <w:p w14:paraId="76A679FF">
      <w:pPr>
        <w:keepNext w:val="0"/>
        <w:keepLines w:val="0"/>
        <w:pageBreakBefore w:val="0"/>
        <w:widowControl w:val="0"/>
        <w:kinsoku/>
        <w:wordWrap/>
        <w:overflowPunct/>
        <w:topLinePunct w:val="0"/>
        <w:bidi w:val="0"/>
        <w:jc w:val="both"/>
        <w:textAlignment w:val="auto"/>
        <w:rPr>
          <w:rFonts w:hint="default" w:asciiTheme="minorAscii" w:hAnsiTheme="minorAscii"/>
          <w:lang w:val="en-US" w:eastAsia="zh-CN"/>
        </w:rPr>
      </w:pPr>
    </w:p>
    <w:p w14:paraId="182F725E">
      <w:pPr>
        <w:keepNext w:val="0"/>
        <w:keepLines w:val="0"/>
        <w:pageBreakBefore w:val="0"/>
        <w:widowControl w:val="0"/>
        <w:kinsoku/>
        <w:wordWrap/>
        <w:overflowPunct/>
        <w:topLinePunct w:val="0"/>
        <w:bidi w:val="0"/>
        <w:jc w:val="both"/>
        <w:textAlignment w:val="auto"/>
        <w:rPr>
          <w:rFonts w:hint="default" w:asciiTheme="minorAscii" w:hAnsiTheme="minorAscii"/>
          <w:lang w:val="en-US" w:eastAsia="zh-CN"/>
        </w:rPr>
      </w:pPr>
    </w:p>
    <w:p w14:paraId="5D8AA186">
      <w:pPr>
        <w:keepNext w:val="0"/>
        <w:keepLines w:val="0"/>
        <w:pageBreakBefore w:val="0"/>
        <w:widowControl w:val="0"/>
        <w:kinsoku/>
        <w:wordWrap/>
        <w:overflowPunct/>
        <w:topLinePunct w:val="0"/>
        <w:bidi w:val="0"/>
        <w:jc w:val="both"/>
        <w:textAlignment w:val="auto"/>
        <w:rPr>
          <w:rFonts w:hint="default" w:asciiTheme="minorAscii" w:hAnsiTheme="minorAscii"/>
          <w:lang w:val="en-US" w:eastAsia="zh-CN"/>
        </w:rPr>
      </w:pPr>
    </w:p>
    <w:p w14:paraId="577229D7">
      <w:pPr>
        <w:keepNext w:val="0"/>
        <w:keepLines w:val="0"/>
        <w:pageBreakBefore w:val="0"/>
        <w:widowControl w:val="0"/>
        <w:kinsoku/>
        <w:wordWrap/>
        <w:overflowPunct/>
        <w:topLinePunct w:val="0"/>
        <w:bidi w:val="0"/>
        <w:jc w:val="both"/>
        <w:textAlignment w:val="auto"/>
        <w:rPr>
          <w:rFonts w:hint="default" w:asciiTheme="minorAscii" w:hAnsiTheme="minorAscii"/>
          <w:lang w:val="en-US" w:eastAsia="zh-CN"/>
        </w:rPr>
      </w:pPr>
    </w:p>
    <w:p w14:paraId="2DA2BC39">
      <w:pPr>
        <w:keepNext w:val="0"/>
        <w:keepLines w:val="0"/>
        <w:pageBreakBefore w:val="0"/>
        <w:widowControl w:val="0"/>
        <w:kinsoku/>
        <w:wordWrap/>
        <w:overflowPunct/>
        <w:topLinePunct w:val="0"/>
        <w:bidi w:val="0"/>
        <w:jc w:val="both"/>
        <w:textAlignment w:val="auto"/>
        <w:rPr>
          <w:rFonts w:hint="default" w:asciiTheme="minorAscii" w:hAnsiTheme="minorAscii"/>
          <w:lang w:val="en-US" w:eastAsia="zh-CN"/>
        </w:rPr>
      </w:pPr>
    </w:p>
    <w:p w14:paraId="4ECDCF7C">
      <w:pPr>
        <w:keepNext w:val="0"/>
        <w:keepLines w:val="0"/>
        <w:pageBreakBefore w:val="0"/>
        <w:widowControl w:val="0"/>
        <w:kinsoku/>
        <w:wordWrap/>
        <w:overflowPunct/>
        <w:topLinePunct w:val="0"/>
        <w:bidi w:val="0"/>
        <w:jc w:val="both"/>
        <w:textAlignment w:val="auto"/>
        <w:rPr>
          <w:rFonts w:hint="default" w:asciiTheme="minorAscii" w:hAnsiTheme="minorAscii"/>
          <w:lang w:val="en-US" w:eastAsia="zh-CN"/>
        </w:rPr>
      </w:pPr>
    </w:p>
    <w:p w14:paraId="60E9C315">
      <w:pPr>
        <w:keepNext w:val="0"/>
        <w:keepLines w:val="0"/>
        <w:pageBreakBefore w:val="0"/>
        <w:widowControl w:val="0"/>
        <w:kinsoku/>
        <w:wordWrap/>
        <w:overflowPunct/>
        <w:topLinePunct w:val="0"/>
        <w:bidi w:val="0"/>
        <w:jc w:val="both"/>
        <w:textAlignment w:val="auto"/>
        <w:rPr>
          <w:rFonts w:hint="default" w:asciiTheme="minorAscii" w:hAnsiTheme="minorAscii"/>
          <w:lang w:val="en-US" w:eastAsia="zh-CN"/>
        </w:rPr>
      </w:pPr>
    </w:p>
    <w:p w14:paraId="0D00D21E">
      <w:pPr>
        <w:keepNext w:val="0"/>
        <w:keepLines w:val="0"/>
        <w:pageBreakBefore w:val="0"/>
        <w:widowControl w:val="0"/>
        <w:kinsoku/>
        <w:wordWrap/>
        <w:overflowPunct/>
        <w:topLinePunct w:val="0"/>
        <w:bidi w:val="0"/>
        <w:jc w:val="both"/>
        <w:textAlignment w:val="auto"/>
        <w:rPr>
          <w:rFonts w:hint="default" w:asciiTheme="minorAscii" w:hAnsiTheme="minorAscii"/>
          <w:lang w:val="en-US" w:eastAsia="zh-CN"/>
        </w:rPr>
      </w:pPr>
    </w:p>
    <w:p w14:paraId="281FD04D">
      <w:pPr>
        <w:keepNext w:val="0"/>
        <w:keepLines w:val="0"/>
        <w:pageBreakBefore w:val="0"/>
        <w:widowControl w:val="0"/>
        <w:kinsoku/>
        <w:wordWrap/>
        <w:overflowPunct/>
        <w:topLinePunct w:val="0"/>
        <w:bidi w:val="0"/>
        <w:jc w:val="both"/>
        <w:textAlignment w:val="auto"/>
        <w:rPr>
          <w:rFonts w:hint="default" w:asciiTheme="minorAscii" w:hAnsiTheme="minorAscii"/>
          <w:lang w:val="en-US" w:eastAsia="zh-CN"/>
        </w:rPr>
      </w:pPr>
    </w:p>
    <w:p w14:paraId="5FD7899E">
      <w:pPr>
        <w:keepNext w:val="0"/>
        <w:keepLines w:val="0"/>
        <w:pageBreakBefore w:val="0"/>
        <w:widowControl w:val="0"/>
        <w:kinsoku/>
        <w:wordWrap/>
        <w:overflowPunct/>
        <w:topLinePunct w:val="0"/>
        <w:bidi w:val="0"/>
        <w:jc w:val="both"/>
        <w:textAlignment w:val="auto"/>
        <w:rPr>
          <w:rFonts w:hint="default" w:asciiTheme="minorAscii" w:hAnsiTheme="minorAscii"/>
          <w:lang w:val="en-US" w:eastAsia="zh-CN"/>
        </w:rPr>
      </w:pPr>
    </w:p>
    <w:p w14:paraId="17113180">
      <w:pPr>
        <w:keepNext w:val="0"/>
        <w:keepLines w:val="0"/>
        <w:pageBreakBefore w:val="0"/>
        <w:widowControl w:val="0"/>
        <w:kinsoku/>
        <w:wordWrap/>
        <w:overflowPunct/>
        <w:topLinePunct w:val="0"/>
        <w:bidi w:val="0"/>
        <w:jc w:val="both"/>
        <w:textAlignment w:val="auto"/>
        <w:rPr>
          <w:rFonts w:hint="default" w:asciiTheme="minorAscii" w:hAnsiTheme="minorAscii"/>
          <w:lang w:val="en-US" w:eastAsia="zh-CN"/>
        </w:rPr>
      </w:pPr>
    </w:p>
    <w:p w14:paraId="467F7D15">
      <w:pPr>
        <w:keepNext w:val="0"/>
        <w:keepLines w:val="0"/>
        <w:pageBreakBefore w:val="0"/>
        <w:widowControl w:val="0"/>
        <w:kinsoku/>
        <w:wordWrap/>
        <w:overflowPunct/>
        <w:topLinePunct w:val="0"/>
        <w:bidi w:val="0"/>
        <w:jc w:val="both"/>
        <w:textAlignment w:val="auto"/>
        <w:rPr>
          <w:rFonts w:hint="default" w:asciiTheme="minorAscii" w:hAnsiTheme="minorAscii"/>
          <w:lang w:val="en-US" w:eastAsia="zh-CN"/>
        </w:rPr>
      </w:pPr>
    </w:p>
    <w:p w14:paraId="645E4EBF">
      <w:pPr>
        <w:keepNext w:val="0"/>
        <w:keepLines w:val="0"/>
        <w:pageBreakBefore w:val="0"/>
        <w:widowControl w:val="0"/>
        <w:kinsoku/>
        <w:wordWrap/>
        <w:overflowPunct/>
        <w:topLinePunct w:val="0"/>
        <w:bidi w:val="0"/>
        <w:jc w:val="both"/>
        <w:textAlignment w:val="auto"/>
        <w:rPr>
          <w:rFonts w:hint="default" w:asciiTheme="minorAscii" w:hAnsiTheme="minorAscii"/>
          <w:lang w:val="en-US" w:eastAsia="zh-CN"/>
        </w:rPr>
      </w:pPr>
    </w:p>
    <w:p w14:paraId="1AD7C35E">
      <w:pPr>
        <w:keepNext w:val="0"/>
        <w:keepLines w:val="0"/>
        <w:pageBreakBefore w:val="0"/>
        <w:widowControl w:val="0"/>
        <w:kinsoku/>
        <w:wordWrap/>
        <w:overflowPunct/>
        <w:topLinePunct w:val="0"/>
        <w:bidi w:val="0"/>
        <w:jc w:val="both"/>
        <w:textAlignment w:val="auto"/>
        <w:rPr>
          <w:rFonts w:hint="default" w:asciiTheme="minorAscii" w:hAnsiTheme="minorAscii"/>
          <w:lang w:val="en-US" w:eastAsia="zh-CN"/>
        </w:rPr>
      </w:pPr>
    </w:p>
    <w:p w14:paraId="7FDA13ED">
      <w:pPr>
        <w:keepNext w:val="0"/>
        <w:keepLines w:val="0"/>
        <w:pageBreakBefore w:val="0"/>
        <w:widowControl w:val="0"/>
        <w:kinsoku/>
        <w:wordWrap/>
        <w:overflowPunct/>
        <w:topLinePunct w:val="0"/>
        <w:bidi w:val="0"/>
        <w:jc w:val="both"/>
        <w:textAlignment w:val="auto"/>
        <w:rPr>
          <w:rFonts w:hint="default" w:asciiTheme="minorAscii" w:hAnsiTheme="minorAscii"/>
          <w:lang w:val="en-US" w:eastAsia="zh-CN"/>
        </w:rPr>
      </w:pPr>
    </w:p>
    <w:p w14:paraId="36C4C3A2">
      <w:pPr>
        <w:keepNext w:val="0"/>
        <w:keepLines w:val="0"/>
        <w:pageBreakBefore w:val="0"/>
        <w:widowControl w:val="0"/>
        <w:kinsoku/>
        <w:wordWrap/>
        <w:overflowPunct/>
        <w:topLinePunct w:val="0"/>
        <w:bidi w:val="0"/>
        <w:jc w:val="both"/>
        <w:textAlignment w:val="auto"/>
        <w:rPr>
          <w:rFonts w:hint="default" w:asciiTheme="minorAscii" w:hAnsiTheme="minorAscii"/>
          <w:lang w:val="en-US" w:eastAsia="zh-CN"/>
        </w:rPr>
      </w:pPr>
    </w:p>
    <w:p w14:paraId="77AE960B">
      <w:pPr>
        <w:keepNext w:val="0"/>
        <w:keepLines w:val="0"/>
        <w:pageBreakBefore w:val="0"/>
        <w:widowControl w:val="0"/>
        <w:kinsoku/>
        <w:wordWrap/>
        <w:overflowPunct/>
        <w:topLinePunct w:val="0"/>
        <w:bidi w:val="0"/>
        <w:jc w:val="both"/>
        <w:textAlignment w:val="auto"/>
        <w:rPr>
          <w:rFonts w:hint="default" w:asciiTheme="minorAscii" w:hAnsiTheme="minorAscii"/>
          <w:lang w:val="en-US" w:eastAsia="zh-CN"/>
        </w:rPr>
      </w:pPr>
    </w:p>
    <w:p w14:paraId="0A4AAA2B">
      <w:pPr>
        <w:keepNext w:val="0"/>
        <w:keepLines w:val="0"/>
        <w:pageBreakBefore w:val="0"/>
        <w:widowControl w:val="0"/>
        <w:kinsoku/>
        <w:wordWrap/>
        <w:overflowPunct/>
        <w:topLinePunct w:val="0"/>
        <w:bidi w:val="0"/>
        <w:jc w:val="both"/>
        <w:textAlignment w:val="auto"/>
        <w:rPr>
          <w:rFonts w:hint="default" w:asciiTheme="minorAscii" w:hAnsiTheme="minorAscii"/>
          <w:lang w:val="en-US" w:eastAsia="zh-CN"/>
        </w:rPr>
      </w:pPr>
    </w:p>
    <w:p w14:paraId="28B97948">
      <w:pPr>
        <w:keepNext w:val="0"/>
        <w:keepLines w:val="0"/>
        <w:pageBreakBefore w:val="0"/>
        <w:widowControl w:val="0"/>
        <w:kinsoku/>
        <w:wordWrap/>
        <w:overflowPunct/>
        <w:topLinePunct w:val="0"/>
        <w:bidi w:val="0"/>
        <w:jc w:val="both"/>
        <w:textAlignment w:val="auto"/>
        <w:rPr>
          <w:rFonts w:hint="default" w:asciiTheme="minorAscii" w:hAnsiTheme="minorAscii"/>
          <w:lang w:val="en-US" w:eastAsia="zh-CN"/>
        </w:rPr>
      </w:pPr>
    </w:p>
    <w:p w14:paraId="3834B6C6">
      <w:pPr>
        <w:keepNext w:val="0"/>
        <w:keepLines w:val="0"/>
        <w:pageBreakBefore w:val="0"/>
        <w:widowControl w:val="0"/>
        <w:kinsoku/>
        <w:wordWrap/>
        <w:overflowPunct/>
        <w:topLinePunct w:val="0"/>
        <w:bidi w:val="0"/>
        <w:jc w:val="both"/>
        <w:textAlignment w:val="auto"/>
        <w:rPr>
          <w:rFonts w:hint="default" w:asciiTheme="minorAscii" w:hAnsiTheme="minorAscii"/>
          <w:lang w:val="en-US" w:eastAsia="zh-CN"/>
        </w:rPr>
      </w:pPr>
    </w:p>
    <w:p w14:paraId="643A26BD">
      <w:pPr>
        <w:keepNext w:val="0"/>
        <w:keepLines w:val="0"/>
        <w:pageBreakBefore w:val="0"/>
        <w:widowControl w:val="0"/>
        <w:kinsoku/>
        <w:wordWrap/>
        <w:overflowPunct/>
        <w:topLinePunct w:val="0"/>
        <w:bidi w:val="0"/>
        <w:jc w:val="both"/>
        <w:textAlignment w:val="auto"/>
        <w:rPr>
          <w:rFonts w:hint="default" w:asciiTheme="minorAscii" w:hAnsiTheme="minorAscii"/>
          <w:lang w:val="en-US" w:eastAsia="zh-CN"/>
        </w:rPr>
      </w:pPr>
    </w:p>
    <w:p w14:paraId="096787A6">
      <w:pPr>
        <w:keepNext w:val="0"/>
        <w:keepLines w:val="0"/>
        <w:pageBreakBefore w:val="0"/>
        <w:widowControl w:val="0"/>
        <w:tabs>
          <w:tab w:val="left" w:pos="986"/>
        </w:tabs>
        <w:kinsoku/>
        <w:wordWrap/>
        <w:overflowPunct/>
        <w:topLinePunct w:val="0"/>
        <w:bidi w:val="0"/>
        <w:jc w:val="both"/>
        <w:textAlignment w:val="auto"/>
        <w:rPr>
          <w:rFonts w:hint="default" w:asciiTheme="minorAscii" w:hAnsiTheme="minorAscii"/>
          <w:lang w:val="en-US" w:eastAsia="zh-CN"/>
        </w:rPr>
      </w:pPr>
      <w:r>
        <w:rPr>
          <w:rFonts w:hint="default" w:asciiTheme="minorAscii" w:hAnsiTheme="minorAscii"/>
          <w:lang w:val="en-US" w:eastAsia="zh-CN"/>
        </w:rPr>
        <w:tab/>
      </w:r>
    </w:p>
    <w:p w14:paraId="0CE0D85B">
      <w:pPr>
        <w:pStyle w:val="5"/>
        <w:keepNext w:val="0"/>
        <w:keepLines w:val="0"/>
        <w:pageBreakBefore w:val="0"/>
        <w:widowControl w:val="0"/>
        <w:kinsoku/>
        <w:wordWrap/>
        <w:overflowPunct/>
        <w:topLinePunct w:val="0"/>
        <w:bidi w:val="0"/>
        <w:jc w:val="both"/>
        <w:textAlignment w:val="auto"/>
        <w:rPr>
          <w:rFonts w:hint="default" w:asciiTheme="minorAscii" w:hAnsiTheme="minorAscii"/>
          <w:lang w:val="en-US" w:eastAsia="zh-CN"/>
        </w:rPr>
      </w:pPr>
    </w:p>
    <w:p w14:paraId="3940CF06">
      <w:pPr>
        <w:pStyle w:val="6"/>
        <w:keepNext w:val="0"/>
        <w:keepLines w:val="0"/>
        <w:pageBreakBefore w:val="0"/>
        <w:widowControl w:val="0"/>
        <w:kinsoku/>
        <w:wordWrap/>
        <w:overflowPunct/>
        <w:topLinePunct w:val="0"/>
        <w:bidi w:val="0"/>
        <w:jc w:val="both"/>
        <w:textAlignment w:val="auto"/>
        <w:rPr>
          <w:rFonts w:hint="default" w:asciiTheme="minorAscii" w:hAnsiTheme="minorAscii"/>
          <w:lang w:val="en-US" w:eastAsia="zh-CN"/>
        </w:rPr>
      </w:pPr>
    </w:p>
    <w:p w14:paraId="68BE932E">
      <w:pPr>
        <w:keepNext w:val="0"/>
        <w:keepLines w:val="0"/>
        <w:pageBreakBefore w:val="0"/>
        <w:widowControl w:val="0"/>
        <w:kinsoku/>
        <w:wordWrap/>
        <w:overflowPunct/>
        <w:topLinePunct w:val="0"/>
        <w:bidi w:val="0"/>
        <w:spacing w:line="360" w:lineRule="auto"/>
        <w:jc w:val="both"/>
        <w:textAlignment w:val="auto"/>
        <w:rPr>
          <w:rFonts w:hint="default" w:eastAsia="宋体" w:cs="宋体" w:asciiTheme="minorAscii" w:hAnsiTheme="minorAscii"/>
          <w:b/>
          <w:sz w:val="24"/>
          <w:szCs w:val="24"/>
          <w:lang w:val="en-US" w:eastAsia="zh-CN"/>
        </w:rPr>
      </w:pPr>
      <w:r>
        <w:rPr>
          <w:rFonts w:hint="default" w:eastAsia="宋体" w:cs="宋体" w:asciiTheme="minorAscii" w:hAnsiTheme="minorAscii"/>
          <w:b/>
          <w:sz w:val="24"/>
          <w:szCs w:val="24"/>
          <w:lang w:val="en-US" w:eastAsia="zh-CN"/>
        </w:rPr>
        <w:t>附件2：</w:t>
      </w:r>
    </w:p>
    <w:p w14:paraId="5C9E877C">
      <w:pPr>
        <w:keepNext w:val="0"/>
        <w:keepLines w:val="0"/>
        <w:pageBreakBefore w:val="0"/>
        <w:widowControl w:val="0"/>
        <w:kinsoku/>
        <w:wordWrap/>
        <w:overflowPunct/>
        <w:topLinePunct w:val="0"/>
        <w:bidi w:val="0"/>
        <w:spacing w:line="360" w:lineRule="auto"/>
        <w:jc w:val="center"/>
        <w:textAlignment w:val="auto"/>
        <w:rPr>
          <w:rFonts w:hint="default" w:asciiTheme="minorAscii" w:hAnsiTheme="minorAscii" w:eastAsiaTheme="minorEastAsia" w:cstheme="minorEastAsia"/>
          <w:b/>
          <w:bCs/>
          <w:sz w:val="32"/>
          <w:szCs w:val="32"/>
        </w:rPr>
      </w:pPr>
      <w:r>
        <w:rPr>
          <w:rFonts w:hint="default" w:eastAsia="宋体" w:cs="宋体" w:asciiTheme="minorAscii" w:hAnsiTheme="minorAscii"/>
          <w:b/>
          <w:sz w:val="32"/>
        </w:rPr>
        <w:t>投标报价汇总表</w:t>
      </w:r>
    </w:p>
    <w:tbl>
      <w:tblPr>
        <w:tblStyle w:val="7"/>
        <w:tblW w:w="0" w:type="auto"/>
        <w:jc w:val="center"/>
        <w:tblLayout w:type="fixed"/>
        <w:tblCellMar>
          <w:top w:w="0" w:type="dxa"/>
          <w:left w:w="108" w:type="dxa"/>
          <w:bottom w:w="0" w:type="dxa"/>
          <w:right w:w="108" w:type="dxa"/>
        </w:tblCellMar>
      </w:tblPr>
      <w:tblGrid>
        <w:gridCol w:w="1823"/>
        <w:gridCol w:w="7537"/>
      </w:tblGrid>
      <w:tr w14:paraId="7F0EE80A">
        <w:tblPrEx>
          <w:tblCellMar>
            <w:top w:w="0" w:type="dxa"/>
            <w:left w:w="108" w:type="dxa"/>
            <w:bottom w:w="0" w:type="dxa"/>
            <w:right w:w="108" w:type="dxa"/>
          </w:tblCellMar>
        </w:tblPrEx>
        <w:trPr>
          <w:trHeight w:val="421" w:hRule="atLeast"/>
          <w:jc w:val="center"/>
        </w:trPr>
        <w:tc>
          <w:tcPr>
            <w:tcW w:w="1823" w:type="dxa"/>
            <w:tcBorders>
              <w:top w:val="single" w:color="000000" w:sz="4" w:space="0"/>
              <w:left w:val="single" w:color="000000" w:sz="4" w:space="0"/>
              <w:bottom w:val="single" w:color="000000" w:sz="4" w:space="0"/>
              <w:right w:val="single" w:color="000000" w:sz="4" w:space="0"/>
            </w:tcBorders>
            <w:vAlign w:val="center"/>
          </w:tcPr>
          <w:p w14:paraId="33D0DB42">
            <w:pPr>
              <w:keepNext w:val="0"/>
              <w:keepLines w:val="0"/>
              <w:pageBreakBefore w:val="0"/>
              <w:widowControl w:val="0"/>
              <w:kinsoku/>
              <w:wordWrap/>
              <w:overflowPunct/>
              <w:topLinePunct w:val="0"/>
              <w:bidi w:val="0"/>
              <w:spacing w:line="520" w:lineRule="exact"/>
              <w:jc w:val="center"/>
              <w:textAlignment w:val="auto"/>
              <w:rPr>
                <w:rFonts w:hint="default" w:eastAsia="宋体" w:cs="宋体" w:asciiTheme="minorAscii" w:hAnsiTheme="minorAscii"/>
                <w:b/>
                <w:bCs/>
                <w:kern w:val="1"/>
                <w:sz w:val="24"/>
                <w:szCs w:val="24"/>
              </w:rPr>
            </w:pPr>
            <w:r>
              <w:rPr>
                <w:rFonts w:hint="default" w:eastAsia="宋体" w:cs="宋体" w:asciiTheme="minorAscii" w:hAnsiTheme="minorAscii"/>
                <w:b/>
                <w:bCs/>
                <w:kern w:val="1"/>
                <w:sz w:val="24"/>
                <w:szCs w:val="24"/>
              </w:rPr>
              <w:t>项目名称</w:t>
            </w:r>
          </w:p>
        </w:tc>
        <w:tc>
          <w:tcPr>
            <w:tcW w:w="7537" w:type="dxa"/>
            <w:tcBorders>
              <w:top w:val="single" w:color="000000" w:sz="4" w:space="0"/>
              <w:left w:val="single" w:color="000000" w:sz="4" w:space="0"/>
              <w:bottom w:val="single" w:color="000000" w:sz="4" w:space="0"/>
              <w:right w:val="single" w:color="000000" w:sz="4" w:space="0"/>
            </w:tcBorders>
            <w:vAlign w:val="center"/>
          </w:tcPr>
          <w:p w14:paraId="14632A20">
            <w:pPr>
              <w:keepNext w:val="0"/>
              <w:keepLines w:val="0"/>
              <w:pageBreakBefore w:val="0"/>
              <w:widowControl w:val="0"/>
              <w:kinsoku/>
              <w:wordWrap/>
              <w:overflowPunct/>
              <w:topLinePunct w:val="0"/>
              <w:bidi w:val="0"/>
              <w:spacing w:line="520" w:lineRule="exact"/>
              <w:jc w:val="center"/>
              <w:textAlignment w:val="auto"/>
              <w:rPr>
                <w:rFonts w:hint="default" w:eastAsia="宋体" w:cs="宋体" w:asciiTheme="minorAscii" w:hAnsiTheme="minorAscii"/>
                <w:b/>
                <w:bCs/>
                <w:kern w:val="1"/>
                <w:sz w:val="24"/>
                <w:szCs w:val="24"/>
                <w:lang w:val="en-US" w:eastAsia="zh-CN"/>
              </w:rPr>
            </w:pPr>
            <w:r>
              <w:rPr>
                <w:rFonts w:hint="default" w:eastAsia="宋体" w:cs="宋体" w:asciiTheme="minorAscii" w:hAnsiTheme="minorAscii"/>
                <w:b/>
                <w:bCs/>
                <w:sz w:val="24"/>
                <w:szCs w:val="24"/>
                <w:lang w:val="en-US" w:eastAsia="zh-CN"/>
              </w:rPr>
              <w:t>教务管理系统</w:t>
            </w:r>
            <w:r>
              <w:rPr>
                <w:rFonts w:hint="default" w:eastAsia="宋体" w:cs="宋体" w:asciiTheme="minorAscii" w:hAnsiTheme="minorAscii"/>
                <w:b/>
                <w:bCs/>
                <w:sz w:val="24"/>
                <w:szCs w:val="24"/>
              </w:rPr>
              <w:t>设备采购</w:t>
            </w:r>
            <w:r>
              <w:rPr>
                <w:rFonts w:hint="default" w:eastAsia="宋体" w:cs="宋体" w:asciiTheme="minorAscii" w:hAnsiTheme="minorAscii"/>
                <w:b/>
                <w:bCs/>
                <w:sz w:val="24"/>
                <w:szCs w:val="24"/>
                <w:lang w:eastAsia="zh-CN"/>
              </w:rPr>
              <w:t>、</w:t>
            </w:r>
            <w:r>
              <w:rPr>
                <w:rFonts w:hint="default" w:eastAsia="宋体" w:cs="宋体" w:asciiTheme="minorAscii" w:hAnsiTheme="minorAscii"/>
                <w:b/>
                <w:bCs/>
                <w:sz w:val="24"/>
                <w:szCs w:val="24"/>
              </w:rPr>
              <w:t>安装</w:t>
            </w:r>
            <w:r>
              <w:rPr>
                <w:rFonts w:hint="default" w:eastAsia="宋体" w:cs="宋体" w:asciiTheme="minorAscii" w:hAnsiTheme="minorAscii"/>
                <w:b/>
                <w:bCs/>
                <w:sz w:val="24"/>
                <w:szCs w:val="24"/>
                <w:lang w:eastAsia="zh-CN"/>
              </w:rPr>
              <w:t>、</w:t>
            </w:r>
            <w:r>
              <w:rPr>
                <w:rFonts w:hint="default" w:eastAsia="宋体" w:cs="宋体" w:asciiTheme="minorAscii" w:hAnsiTheme="minorAscii"/>
                <w:b/>
                <w:bCs/>
                <w:sz w:val="24"/>
                <w:szCs w:val="24"/>
                <w:lang w:val="en-US" w:eastAsia="zh-CN"/>
              </w:rPr>
              <w:t>调试及培训工程</w:t>
            </w:r>
          </w:p>
        </w:tc>
      </w:tr>
      <w:tr w14:paraId="0D0B88F4">
        <w:tblPrEx>
          <w:tblCellMar>
            <w:top w:w="0" w:type="dxa"/>
            <w:left w:w="108" w:type="dxa"/>
            <w:bottom w:w="0" w:type="dxa"/>
            <w:right w:w="108" w:type="dxa"/>
          </w:tblCellMar>
        </w:tblPrEx>
        <w:trPr>
          <w:cantSplit/>
          <w:trHeight w:val="599" w:hRule="atLeast"/>
          <w:jc w:val="center"/>
        </w:trPr>
        <w:tc>
          <w:tcPr>
            <w:tcW w:w="1823" w:type="dxa"/>
            <w:tcBorders>
              <w:top w:val="single" w:color="000000" w:sz="4" w:space="0"/>
              <w:left w:val="single" w:color="000000" w:sz="4" w:space="0"/>
              <w:bottom w:val="single" w:color="000000" w:sz="4" w:space="0"/>
              <w:right w:val="single" w:color="000000" w:sz="4" w:space="0"/>
            </w:tcBorders>
            <w:vAlign w:val="center"/>
          </w:tcPr>
          <w:p w14:paraId="4BEBE409">
            <w:pPr>
              <w:keepNext w:val="0"/>
              <w:keepLines w:val="0"/>
              <w:pageBreakBefore w:val="0"/>
              <w:widowControl w:val="0"/>
              <w:kinsoku/>
              <w:wordWrap/>
              <w:overflowPunct/>
              <w:topLinePunct w:val="0"/>
              <w:bidi w:val="0"/>
              <w:spacing w:line="520" w:lineRule="exact"/>
              <w:jc w:val="center"/>
              <w:textAlignment w:val="auto"/>
              <w:rPr>
                <w:rFonts w:hint="default" w:eastAsia="宋体" w:cs="宋体" w:asciiTheme="minorAscii" w:hAnsiTheme="minorAscii"/>
                <w:b/>
                <w:bCs/>
                <w:kern w:val="1"/>
                <w:sz w:val="24"/>
                <w:szCs w:val="24"/>
              </w:rPr>
            </w:pPr>
            <w:r>
              <w:rPr>
                <w:rFonts w:hint="default" w:eastAsia="宋体" w:cs="宋体" w:asciiTheme="minorAscii" w:hAnsiTheme="minorAscii"/>
                <w:b/>
                <w:bCs/>
                <w:kern w:val="1"/>
                <w:sz w:val="24"/>
                <w:szCs w:val="24"/>
              </w:rPr>
              <w:t>投标人名称</w:t>
            </w:r>
          </w:p>
        </w:tc>
        <w:tc>
          <w:tcPr>
            <w:tcW w:w="7537" w:type="dxa"/>
            <w:tcBorders>
              <w:top w:val="single" w:color="000000" w:sz="4" w:space="0"/>
              <w:left w:val="single" w:color="000000" w:sz="4" w:space="0"/>
              <w:bottom w:val="single" w:color="000000" w:sz="4" w:space="0"/>
              <w:right w:val="single" w:color="000000" w:sz="4" w:space="0"/>
            </w:tcBorders>
            <w:vAlign w:val="center"/>
          </w:tcPr>
          <w:p w14:paraId="7E0264BA">
            <w:pPr>
              <w:keepNext w:val="0"/>
              <w:keepLines w:val="0"/>
              <w:pageBreakBefore w:val="0"/>
              <w:widowControl w:val="0"/>
              <w:kinsoku/>
              <w:wordWrap/>
              <w:overflowPunct/>
              <w:topLinePunct w:val="0"/>
              <w:bidi w:val="0"/>
              <w:spacing w:line="520" w:lineRule="exact"/>
              <w:jc w:val="center"/>
              <w:textAlignment w:val="auto"/>
              <w:rPr>
                <w:rFonts w:hint="default" w:eastAsia="宋体" w:cs="宋体" w:asciiTheme="minorAscii" w:hAnsiTheme="minorAscii"/>
                <w:b/>
                <w:bCs/>
                <w:kern w:val="1"/>
                <w:sz w:val="24"/>
                <w:szCs w:val="24"/>
              </w:rPr>
            </w:pPr>
          </w:p>
        </w:tc>
      </w:tr>
      <w:tr w14:paraId="2D0DD2DD">
        <w:tblPrEx>
          <w:tblCellMar>
            <w:top w:w="0" w:type="dxa"/>
            <w:left w:w="108" w:type="dxa"/>
            <w:bottom w:w="0" w:type="dxa"/>
            <w:right w:w="108" w:type="dxa"/>
          </w:tblCellMar>
        </w:tblPrEx>
        <w:trPr>
          <w:cantSplit/>
          <w:trHeight w:val="632" w:hRule="atLeast"/>
          <w:jc w:val="center"/>
        </w:trPr>
        <w:tc>
          <w:tcPr>
            <w:tcW w:w="1823" w:type="dxa"/>
            <w:tcBorders>
              <w:top w:val="single" w:color="000000" w:sz="4" w:space="0"/>
              <w:left w:val="single" w:color="000000" w:sz="4" w:space="0"/>
              <w:bottom w:val="single" w:color="000000" w:sz="4" w:space="0"/>
              <w:right w:val="single" w:color="000000" w:sz="4" w:space="0"/>
            </w:tcBorders>
            <w:vAlign w:val="center"/>
          </w:tcPr>
          <w:p w14:paraId="298C6DDA">
            <w:pPr>
              <w:keepNext w:val="0"/>
              <w:keepLines w:val="0"/>
              <w:pageBreakBefore w:val="0"/>
              <w:widowControl w:val="0"/>
              <w:kinsoku/>
              <w:wordWrap/>
              <w:overflowPunct/>
              <w:topLinePunct w:val="0"/>
              <w:bidi w:val="0"/>
              <w:spacing w:line="520" w:lineRule="exact"/>
              <w:jc w:val="center"/>
              <w:textAlignment w:val="auto"/>
              <w:rPr>
                <w:rFonts w:hint="default" w:eastAsia="宋体" w:cs="宋体" w:asciiTheme="minorAscii" w:hAnsiTheme="minorAscii"/>
                <w:b/>
                <w:bCs/>
                <w:kern w:val="1"/>
                <w:sz w:val="24"/>
                <w:szCs w:val="24"/>
              </w:rPr>
            </w:pPr>
            <w:r>
              <w:rPr>
                <w:rFonts w:hint="default" w:eastAsia="宋体" w:cs="宋体" w:asciiTheme="minorAscii" w:hAnsiTheme="minorAscii"/>
                <w:b/>
                <w:bCs/>
                <w:kern w:val="1"/>
                <w:sz w:val="24"/>
                <w:szCs w:val="24"/>
              </w:rPr>
              <w:t>投标报价</w:t>
            </w:r>
          </w:p>
        </w:tc>
        <w:tc>
          <w:tcPr>
            <w:tcW w:w="7537" w:type="dxa"/>
            <w:tcBorders>
              <w:top w:val="single" w:color="000000" w:sz="4" w:space="0"/>
              <w:left w:val="single" w:color="000000" w:sz="4" w:space="0"/>
              <w:bottom w:val="single" w:color="000000" w:sz="4" w:space="0"/>
              <w:right w:val="single" w:color="000000" w:sz="4" w:space="0"/>
            </w:tcBorders>
            <w:vAlign w:val="center"/>
          </w:tcPr>
          <w:p w14:paraId="3BCED04F">
            <w:pPr>
              <w:keepNext w:val="0"/>
              <w:keepLines w:val="0"/>
              <w:pageBreakBefore w:val="0"/>
              <w:widowControl w:val="0"/>
              <w:kinsoku/>
              <w:wordWrap/>
              <w:overflowPunct/>
              <w:topLinePunct w:val="0"/>
              <w:bidi w:val="0"/>
              <w:spacing w:line="520" w:lineRule="exact"/>
              <w:jc w:val="center"/>
              <w:textAlignment w:val="auto"/>
              <w:rPr>
                <w:rFonts w:hint="default" w:eastAsia="宋体" w:cs="宋体" w:asciiTheme="minorAscii" w:hAnsiTheme="minorAscii"/>
                <w:b/>
                <w:bCs/>
                <w:kern w:val="1"/>
                <w:sz w:val="24"/>
                <w:szCs w:val="24"/>
              </w:rPr>
            </w:pPr>
            <w:r>
              <w:rPr>
                <w:rFonts w:hint="default" w:eastAsia="宋体" w:cs="宋体" w:asciiTheme="minorAscii" w:hAnsiTheme="minorAscii"/>
                <w:b/>
                <w:bCs/>
                <w:kern w:val="1"/>
                <w:sz w:val="24"/>
                <w:szCs w:val="24"/>
              </w:rPr>
              <w:t>小写：</w:t>
            </w:r>
            <w:r>
              <w:rPr>
                <w:rFonts w:hint="default" w:eastAsia="宋体" w:cs="宋体" w:asciiTheme="minorAscii" w:hAnsiTheme="minorAscii"/>
                <w:b/>
                <w:bCs/>
                <w:kern w:val="1"/>
                <w:sz w:val="24"/>
                <w:szCs w:val="24"/>
                <w:u w:val="single"/>
              </w:rPr>
              <w:t xml:space="preserve">              </w:t>
            </w:r>
            <w:r>
              <w:rPr>
                <w:rFonts w:hint="default" w:eastAsia="宋体" w:cs="宋体" w:asciiTheme="minorAscii" w:hAnsiTheme="minorAscii"/>
                <w:b/>
                <w:bCs/>
                <w:kern w:val="1"/>
                <w:sz w:val="24"/>
                <w:szCs w:val="24"/>
              </w:rPr>
              <w:t xml:space="preserve">   大写：</w:t>
            </w:r>
            <w:r>
              <w:rPr>
                <w:rFonts w:hint="default" w:eastAsia="宋体" w:cs="宋体" w:asciiTheme="minorAscii" w:hAnsiTheme="minorAscii"/>
                <w:b/>
                <w:bCs/>
                <w:kern w:val="1"/>
                <w:sz w:val="24"/>
                <w:szCs w:val="24"/>
                <w:u w:val="single"/>
              </w:rPr>
              <w:t xml:space="preserve">                 </w:t>
            </w:r>
            <w:r>
              <w:rPr>
                <w:rFonts w:hint="default" w:eastAsia="宋体" w:cs="宋体" w:asciiTheme="minorAscii" w:hAnsiTheme="minorAscii"/>
                <w:b/>
                <w:bCs/>
                <w:kern w:val="1"/>
                <w:sz w:val="24"/>
                <w:szCs w:val="24"/>
              </w:rPr>
              <w:t>（附明细清单）</w:t>
            </w:r>
          </w:p>
        </w:tc>
      </w:tr>
      <w:tr w14:paraId="02737E85">
        <w:tblPrEx>
          <w:tblCellMar>
            <w:top w:w="0" w:type="dxa"/>
            <w:left w:w="108" w:type="dxa"/>
            <w:bottom w:w="0" w:type="dxa"/>
            <w:right w:w="108" w:type="dxa"/>
          </w:tblCellMar>
        </w:tblPrEx>
        <w:trPr>
          <w:cantSplit/>
          <w:trHeight w:val="599" w:hRule="atLeast"/>
          <w:jc w:val="center"/>
        </w:trPr>
        <w:tc>
          <w:tcPr>
            <w:tcW w:w="1823" w:type="dxa"/>
            <w:tcBorders>
              <w:top w:val="single" w:color="000000" w:sz="4" w:space="0"/>
              <w:left w:val="single" w:color="000000" w:sz="4" w:space="0"/>
              <w:bottom w:val="single" w:color="000000" w:sz="4" w:space="0"/>
              <w:right w:val="single" w:color="000000" w:sz="4" w:space="0"/>
            </w:tcBorders>
            <w:vAlign w:val="center"/>
          </w:tcPr>
          <w:p w14:paraId="4637213C">
            <w:pPr>
              <w:keepNext w:val="0"/>
              <w:keepLines w:val="0"/>
              <w:pageBreakBefore w:val="0"/>
              <w:widowControl w:val="0"/>
              <w:kinsoku/>
              <w:wordWrap/>
              <w:overflowPunct/>
              <w:topLinePunct w:val="0"/>
              <w:bidi w:val="0"/>
              <w:spacing w:line="520" w:lineRule="exact"/>
              <w:jc w:val="center"/>
              <w:textAlignment w:val="auto"/>
              <w:rPr>
                <w:rFonts w:hint="default" w:eastAsia="宋体" w:cs="宋体" w:asciiTheme="minorAscii" w:hAnsiTheme="minorAscii"/>
                <w:b/>
                <w:bCs/>
                <w:kern w:val="1"/>
                <w:sz w:val="24"/>
                <w:szCs w:val="24"/>
              </w:rPr>
            </w:pPr>
            <w:r>
              <w:rPr>
                <w:rFonts w:hint="default" w:eastAsia="宋体" w:cs="宋体" w:asciiTheme="minorAscii" w:hAnsiTheme="minorAscii"/>
                <w:b/>
                <w:bCs/>
                <w:kern w:val="1"/>
                <w:sz w:val="24"/>
                <w:szCs w:val="24"/>
              </w:rPr>
              <w:t>工程质量标准</w:t>
            </w:r>
          </w:p>
        </w:tc>
        <w:tc>
          <w:tcPr>
            <w:tcW w:w="7537" w:type="dxa"/>
            <w:tcBorders>
              <w:top w:val="single" w:color="000000" w:sz="4" w:space="0"/>
              <w:left w:val="single" w:color="000000" w:sz="4" w:space="0"/>
              <w:bottom w:val="single" w:color="000000" w:sz="4" w:space="0"/>
              <w:right w:val="single" w:color="000000" w:sz="4" w:space="0"/>
            </w:tcBorders>
            <w:vAlign w:val="center"/>
          </w:tcPr>
          <w:p w14:paraId="6DF11995">
            <w:pPr>
              <w:keepNext w:val="0"/>
              <w:keepLines w:val="0"/>
              <w:pageBreakBefore w:val="0"/>
              <w:widowControl w:val="0"/>
              <w:kinsoku/>
              <w:wordWrap/>
              <w:overflowPunct/>
              <w:topLinePunct w:val="0"/>
              <w:bidi w:val="0"/>
              <w:spacing w:line="520" w:lineRule="exact"/>
              <w:jc w:val="center"/>
              <w:textAlignment w:val="auto"/>
              <w:rPr>
                <w:rFonts w:hint="default" w:eastAsia="宋体" w:cs="宋体" w:asciiTheme="minorAscii" w:hAnsiTheme="minorAscii"/>
                <w:b/>
                <w:bCs/>
                <w:kern w:val="1"/>
                <w:sz w:val="24"/>
                <w:szCs w:val="24"/>
                <w:lang w:val="en-US" w:eastAsia="zh-CN"/>
              </w:rPr>
            </w:pPr>
            <w:r>
              <w:rPr>
                <w:rFonts w:hint="default" w:eastAsia="宋体" w:cs="宋体" w:asciiTheme="minorAscii" w:hAnsiTheme="minorAscii"/>
                <w:b/>
                <w:bCs/>
                <w:kern w:val="1"/>
                <w:sz w:val="24"/>
                <w:szCs w:val="24"/>
                <w:lang w:val="en-US" w:eastAsia="zh-CN"/>
              </w:rPr>
              <w:t>合格</w:t>
            </w:r>
          </w:p>
        </w:tc>
      </w:tr>
      <w:tr w14:paraId="4A620A79">
        <w:tblPrEx>
          <w:tblCellMar>
            <w:top w:w="0" w:type="dxa"/>
            <w:left w:w="108" w:type="dxa"/>
            <w:bottom w:w="0" w:type="dxa"/>
            <w:right w:w="108" w:type="dxa"/>
          </w:tblCellMar>
        </w:tblPrEx>
        <w:trPr>
          <w:cantSplit/>
          <w:trHeight w:val="599" w:hRule="atLeast"/>
          <w:jc w:val="center"/>
        </w:trPr>
        <w:tc>
          <w:tcPr>
            <w:tcW w:w="1823" w:type="dxa"/>
            <w:tcBorders>
              <w:top w:val="single" w:color="000000" w:sz="4" w:space="0"/>
              <w:left w:val="single" w:color="000000" w:sz="4" w:space="0"/>
              <w:bottom w:val="single" w:color="000000" w:sz="4" w:space="0"/>
              <w:right w:val="single" w:color="000000" w:sz="4" w:space="0"/>
            </w:tcBorders>
            <w:vAlign w:val="center"/>
          </w:tcPr>
          <w:p w14:paraId="36F26BB7">
            <w:pPr>
              <w:keepNext w:val="0"/>
              <w:keepLines w:val="0"/>
              <w:pageBreakBefore w:val="0"/>
              <w:widowControl w:val="0"/>
              <w:kinsoku/>
              <w:wordWrap/>
              <w:overflowPunct/>
              <w:topLinePunct w:val="0"/>
              <w:bidi w:val="0"/>
              <w:spacing w:line="520" w:lineRule="exact"/>
              <w:jc w:val="center"/>
              <w:textAlignment w:val="auto"/>
              <w:rPr>
                <w:rFonts w:hint="default" w:eastAsia="宋体" w:cs="宋体" w:asciiTheme="minorAscii" w:hAnsiTheme="minorAscii"/>
                <w:b/>
                <w:bCs/>
                <w:kern w:val="1"/>
                <w:sz w:val="24"/>
                <w:szCs w:val="24"/>
              </w:rPr>
            </w:pPr>
            <w:r>
              <w:rPr>
                <w:rFonts w:hint="default" w:eastAsia="宋体" w:cs="宋体" w:asciiTheme="minorAscii" w:hAnsiTheme="minorAscii"/>
                <w:b/>
                <w:bCs/>
                <w:kern w:val="1"/>
                <w:sz w:val="24"/>
                <w:szCs w:val="24"/>
              </w:rPr>
              <w:t>工  期</w:t>
            </w:r>
          </w:p>
        </w:tc>
        <w:tc>
          <w:tcPr>
            <w:tcW w:w="7537" w:type="dxa"/>
            <w:tcBorders>
              <w:top w:val="single" w:color="000000" w:sz="4" w:space="0"/>
              <w:left w:val="single" w:color="000000" w:sz="4" w:space="0"/>
              <w:bottom w:val="single" w:color="000000" w:sz="4" w:space="0"/>
              <w:right w:val="single" w:color="000000" w:sz="4" w:space="0"/>
            </w:tcBorders>
            <w:vAlign w:val="center"/>
          </w:tcPr>
          <w:p w14:paraId="2E5146E0">
            <w:pPr>
              <w:keepNext w:val="0"/>
              <w:keepLines w:val="0"/>
              <w:pageBreakBefore w:val="0"/>
              <w:widowControl w:val="0"/>
              <w:kinsoku/>
              <w:wordWrap/>
              <w:overflowPunct/>
              <w:topLinePunct w:val="0"/>
              <w:bidi w:val="0"/>
              <w:spacing w:line="520" w:lineRule="exact"/>
              <w:jc w:val="center"/>
              <w:textAlignment w:val="auto"/>
              <w:rPr>
                <w:rFonts w:hint="default" w:eastAsia="宋体" w:cs="宋体" w:asciiTheme="minorAscii" w:hAnsiTheme="minorAscii"/>
                <w:b/>
                <w:bCs/>
                <w:kern w:val="1"/>
                <w:sz w:val="24"/>
                <w:szCs w:val="24"/>
                <w:lang w:val="en-US" w:eastAsia="zh-CN"/>
              </w:rPr>
            </w:pPr>
            <w:r>
              <w:rPr>
                <w:rFonts w:hint="default" w:eastAsia="宋体" w:cs="宋体" w:asciiTheme="minorAscii" w:hAnsiTheme="minorAscii"/>
                <w:b/>
                <w:bCs/>
                <w:kern w:val="1"/>
                <w:sz w:val="24"/>
                <w:szCs w:val="24"/>
                <w:lang w:val="en-US" w:eastAsia="zh-CN"/>
              </w:rPr>
              <w:t>日历日</w:t>
            </w:r>
          </w:p>
        </w:tc>
      </w:tr>
      <w:tr w14:paraId="2A5FEB8F">
        <w:tblPrEx>
          <w:tblCellMar>
            <w:top w:w="0" w:type="dxa"/>
            <w:left w:w="108" w:type="dxa"/>
            <w:bottom w:w="0" w:type="dxa"/>
            <w:right w:w="108" w:type="dxa"/>
          </w:tblCellMar>
        </w:tblPrEx>
        <w:trPr>
          <w:cantSplit/>
          <w:trHeight w:val="599" w:hRule="atLeast"/>
          <w:jc w:val="center"/>
        </w:trPr>
        <w:tc>
          <w:tcPr>
            <w:tcW w:w="1823" w:type="dxa"/>
            <w:tcBorders>
              <w:top w:val="single" w:color="000000" w:sz="4" w:space="0"/>
              <w:left w:val="single" w:color="000000" w:sz="4" w:space="0"/>
              <w:bottom w:val="single" w:color="000000" w:sz="4" w:space="0"/>
              <w:right w:val="single" w:color="000000" w:sz="4" w:space="0"/>
            </w:tcBorders>
            <w:vAlign w:val="center"/>
          </w:tcPr>
          <w:p w14:paraId="1033978A">
            <w:pPr>
              <w:keepNext w:val="0"/>
              <w:keepLines w:val="0"/>
              <w:pageBreakBefore w:val="0"/>
              <w:widowControl w:val="0"/>
              <w:kinsoku/>
              <w:wordWrap/>
              <w:overflowPunct/>
              <w:topLinePunct w:val="0"/>
              <w:bidi w:val="0"/>
              <w:spacing w:line="520" w:lineRule="exact"/>
              <w:jc w:val="center"/>
              <w:textAlignment w:val="auto"/>
              <w:rPr>
                <w:rFonts w:hint="default" w:eastAsia="宋体" w:cs="宋体" w:asciiTheme="minorAscii" w:hAnsiTheme="minorAscii"/>
                <w:b/>
                <w:bCs/>
                <w:kern w:val="1"/>
                <w:sz w:val="24"/>
                <w:szCs w:val="24"/>
              </w:rPr>
            </w:pPr>
            <w:r>
              <w:rPr>
                <w:rFonts w:hint="default" w:eastAsia="宋体" w:cs="宋体" w:asciiTheme="minorAscii" w:hAnsiTheme="minorAscii"/>
                <w:b/>
                <w:bCs/>
                <w:kern w:val="1"/>
                <w:sz w:val="24"/>
                <w:szCs w:val="24"/>
                <w:lang w:val="en-US" w:eastAsia="zh-CN"/>
              </w:rPr>
              <w:t>质保</w:t>
            </w:r>
            <w:r>
              <w:rPr>
                <w:rFonts w:hint="default" w:eastAsia="宋体" w:cs="宋体" w:asciiTheme="minorAscii" w:hAnsiTheme="minorAscii"/>
                <w:b/>
                <w:bCs/>
                <w:kern w:val="1"/>
                <w:sz w:val="24"/>
                <w:szCs w:val="24"/>
              </w:rPr>
              <w:t>期</w:t>
            </w:r>
          </w:p>
        </w:tc>
        <w:tc>
          <w:tcPr>
            <w:tcW w:w="7537" w:type="dxa"/>
            <w:tcBorders>
              <w:top w:val="single" w:color="000000" w:sz="4" w:space="0"/>
              <w:left w:val="single" w:color="000000" w:sz="4" w:space="0"/>
              <w:bottom w:val="single" w:color="000000" w:sz="4" w:space="0"/>
              <w:right w:val="single" w:color="000000" w:sz="4" w:space="0"/>
            </w:tcBorders>
            <w:vAlign w:val="center"/>
          </w:tcPr>
          <w:p w14:paraId="27800859">
            <w:pPr>
              <w:keepNext w:val="0"/>
              <w:keepLines w:val="0"/>
              <w:pageBreakBefore w:val="0"/>
              <w:widowControl w:val="0"/>
              <w:kinsoku/>
              <w:wordWrap/>
              <w:overflowPunct/>
              <w:topLinePunct w:val="0"/>
              <w:bidi w:val="0"/>
              <w:spacing w:line="520" w:lineRule="exact"/>
              <w:jc w:val="center"/>
              <w:textAlignment w:val="auto"/>
              <w:rPr>
                <w:rFonts w:hint="default" w:eastAsia="宋体" w:cs="宋体" w:asciiTheme="minorAscii" w:hAnsiTheme="minorAscii"/>
                <w:b/>
                <w:bCs/>
                <w:kern w:val="1"/>
                <w:sz w:val="24"/>
                <w:szCs w:val="24"/>
                <w:lang w:val="en-US" w:eastAsia="zh-CN"/>
              </w:rPr>
            </w:pPr>
            <w:r>
              <w:rPr>
                <w:rFonts w:hint="default" w:eastAsia="宋体" w:cs="宋体" w:asciiTheme="minorAscii" w:hAnsiTheme="minorAscii"/>
                <w:b/>
                <w:bCs/>
                <w:kern w:val="1"/>
                <w:sz w:val="24"/>
                <w:szCs w:val="24"/>
                <w:lang w:val="en-US" w:eastAsia="zh-CN"/>
              </w:rPr>
              <w:t>验收合格后2年</w:t>
            </w:r>
            <w:r>
              <w:rPr>
                <w:rFonts w:hint="eastAsia" w:eastAsia="宋体" w:cs="宋体" w:asciiTheme="minorAscii" w:hAnsiTheme="minorAscii"/>
                <w:b/>
                <w:bCs/>
                <w:kern w:val="1"/>
                <w:sz w:val="24"/>
                <w:szCs w:val="24"/>
                <w:lang w:val="en-US" w:eastAsia="zh-CN"/>
              </w:rPr>
              <w:t>以上，软件提供免费升级5年以上</w:t>
            </w:r>
          </w:p>
        </w:tc>
      </w:tr>
      <w:tr w14:paraId="2B65055E">
        <w:tblPrEx>
          <w:tblCellMar>
            <w:top w:w="0" w:type="dxa"/>
            <w:left w:w="108" w:type="dxa"/>
            <w:bottom w:w="0" w:type="dxa"/>
            <w:right w:w="108" w:type="dxa"/>
          </w:tblCellMar>
        </w:tblPrEx>
        <w:trPr>
          <w:trHeight w:val="680" w:hRule="atLeast"/>
          <w:jc w:val="center"/>
        </w:trPr>
        <w:tc>
          <w:tcPr>
            <w:tcW w:w="1823" w:type="dxa"/>
            <w:tcBorders>
              <w:top w:val="single" w:color="000000" w:sz="4" w:space="0"/>
              <w:left w:val="single" w:color="000000" w:sz="4" w:space="0"/>
              <w:bottom w:val="single" w:color="000000" w:sz="4" w:space="0"/>
              <w:right w:val="single" w:color="000000" w:sz="4" w:space="0"/>
            </w:tcBorders>
            <w:vAlign w:val="center"/>
          </w:tcPr>
          <w:p w14:paraId="0D1D1E96">
            <w:pPr>
              <w:keepNext w:val="0"/>
              <w:keepLines w:val="0"/>
              <w:pageBreakBefore w:val="0"/>
              <w:widowControl w:val="0"/>
              <w:kinsoku/>
              <w:wordWrap/>
              <w:overflowPunct/>
              <w:topLinePunct w:val="0"/>
              <w:bidi w:val="0"/>
              <w:spacing w:line="520" w:lineRule="exact"/>
              <w:jc w:val="center"/>
              <w:textAlignment w:val="auto"/>
              <w:rPr>
                <w:rFonts w:hint="default" w:eastAsia="宋体" w:cs="宋体" w:asciiTheme="minorAscii" w:hAnsiTheme="minorAscii"/>
                <w:b/>
                <w:bCs/>
                <w:kern w:val="1"/>
                <w:sz w:val="24"/>
                <w:szCs w:val="24"/>
              </w:rPr>
            </w:pPr>
            <w:r>
              <w:rPr>
                <w:rFonts w:hint="default" w:eastAsia="宋体" w:cs="宋体" w:asciiTheme="minorAscii" w:hAnsiTheme="minorAscii"/>
                <w:b/>
                <w:bCs/>
                <w:kern w:val="1"/>
                <w:sz w:val="24"/>
                <w:szCs w:val="24"/>
              </w:rPr>
              <w:t>优惠条件</w:t>
            </w:r>
          </w:p>
        </w:tc>
        <w:tc>
          <w:tcPr>
            <w:tcW w:w="7537" w:type="dxa"/>
            <w:tcBorders>
              <w:top w:val="single" w:color="000000" w:sz="4" w:space="0"/>
              <w:left w:val="single" w:color="000000" w:sz="4" w:space="0"/>
              <w:bottom w:val="single" w:color="000000" w:sz="4" w:space="0"/>
              <w:right w:val="single" w:color="000000" w:sz="4" w:space="0"/>
            </w:tcBorders>
            <w:vAlign w:val="center"/>
          </w:tcPr>
          <w:p w14:paraId="74D9530B">
            <w:pPr>
              <w:keepNext w:val="0"/>
              <w:keepLines w:val="0"/>
              <w:pageBreakBefore w:val="0"/>
              <w:widowControl w:val="0"/>
              <w:kinsoku/>
              <w:wordWrap/>
              <w:overflowPunct/>
              <w:topLinePunct w:val="0"/>
              <w:bidi w:val="0"/>
              <w:spacing w:line="520" w:lineRule="exact"/>
              <w:jc w:val="both"/>
              <w:textAlignment w:val="auto"/>
              <w:rPr>
                <w:rFonts w:hint="default" w:eastAsia="宋体" w:cs="宋体" w:asciiTheme="minorAscii" w:hAnsiTheme="minorAscii"/>
                <w:b/>
                <w:bCs/>
                <w:kern w:val="1"/>
                <w:sz w:val="24"/>
                <w:szCs w:val="24"/>
              </w:rPr>
            </w:pPr>
          </w:p>
        </w:tc>
      </w:tr>
      <w:tr w14:paraId="196EF6DB">
        <w:tblPrEx>
          <w:tblCellMar>
            <w:top w:w="0" w:type="dxa"/>
            <w:left w:w="108" w:type="dxa"/>
            <w:bottom w:w="0" w:type="dxa"/>
            <w:right w:w="108" w:type="dxa"/>
          </w:tblCellMar>
        </w:tblPrEx>
        <w:trPr>
          <w:trHeight w:val="1565" w:hRule="atLeast"/>
          <w:jc w:val="center"/>
        </w:trPr>
        <w:tc>
          <w:tcPr>
            <w:tcW w:w="1823" w:type="dxa"/>
            <w:tcBorders>
              <w:top w:val="single" w:color="000000" w:sz="4" w:space="0"/>
              <w:left w:val="single" w:color="000000" w:sz="4" w:space="0"/>
              <w:bottom w:val="single" w:color="000000" w:sz="4" w:space="0"/>
              <w:right w:val="single" w:color="000000" w:sz="4" w:space="0"/>
            </w:tcBorders>
            <w:vAlign w:val="center"/>
          </w:tcPr>
          <w:p w14:paraId="52F8891D">
            <w:pPr>
              <w:keepNext w:val="0"/>
              <w:keepLines w:val="0"/>
              <w:pageBreakBefore w:val="0"/>
              <w:widowControl w:val="0"/>
              <w:kinsoku/>
              <w:wordWrap/>
              <w:overflowPunct/>
              <w:topLinePunct w:val="0"/>
              <w:bidi w:val="0"/>
              <w:spacing w:line="520" w:lineRule="exact"/>
              <w:jc w:val="center"/>
              <w:textAlignment w:val="auto"/>
              <w:rPr>
                <w:rFonts w:hint="default" w:eastAsia="宋体" w:cs="宋体" w:asciiTheme="minorAscii" w:hAnsiTheme="minorAscii"/>
                <w:b/>
                <w:bCs/>
                <w:kern w:val="1"/>
                <w:sz w:val="24"/>
                <w:szCs w:val="24"/>
              </w:rPr>
            </w:pPr>
            <w:r>
              <w:rPr>
                <w:rFonts w:hint="default" w:eastAsia="宋体" w:cs="宋体" w:asciiTheme="minorAscii" w:hAnsiTheme="minorAscii"/>
                <w:b/>
                <w:bCs/>
                <w:kern w:val="1"/>
                <w:sz w:val="24"/>
                <w:szCs w:val="24"/>
              </w:rPr>
              <w:t>备  注</w:t>
            </w:r>
          </w:p>
        </w:tc>
        <w:tc>
          <w:tcPr>
            <w:tcW w:w="7537" w:type="dxa"/>
            <w:tcBorders>
              <w:top w:val="single" w:color="000000" w:sz="4" w:space="0"/>
              <w:left w:val="single" w:color="000000" w:sz="4" w:space="0"/>
              <w:bottom w:val="single" w:color="000000" w:sz="4" w:space="0"/>
              <w:right w:val="single" w:color="000000" w:sz="4" w:space="0"/>
            </w:tcBorders>
            <w:vAlign w:val="center"/>
          </w:tcPr>
          <w:p w14:paraId="6B0BEC6E">
            <w:pPr>
              <w:keepNext w:val="0"/>
              <w:keepLines w:val="0"/>
              <w:pageBreakBefore w:val="0"/>
              <w:widowControl w:val="0"/>
              <w:kinsoku/>
              <w:wordWrap/>
              <w:overflowPunct/>
              <w:topLinePunct w:val="0"/>
              <w:bidi w:val="0"/>
              <w:spacing w:line="520" w:lineRule="exact"/>
              <w:jc w:val="both"/>
              <w:textAlignment w:val="auto"/>
              <w:rPr>
                <w:rFonts w:hint="default" w:eastAsia="宋体" w:cs="宋体" w:asciiTheme="minorAscii" w:hAnsiTheme="minorAscii"/>
                <w:b/>
                <w:bCs/>
                <w:kern w:val="1"/>
                <w:sz w:val="24"/>
                <w:szCs w:val="24"/>
                <w:lang w:eastAsia="zh-CN"/>
              </w:rPr>
            </w:pPr>
          </w:p>
        </w:tc>
      </w:tr>
    </w:tbl>
    <w:p w14:paraId="141FDF5F">
      <w:pPr>
        <w:keepNext w:val="0"/>
        <w:keepLines w:val="0"/>
        <w:pageBreakBefore w:val="0"/>
        <w:widowControl w:val="0"/>
        <w:kinsoku/>
        <w:wordWrap/>
        <w:overflowPunct/>
        <w:topLinePunct w:val="0"/>
        <w:bidi w:val="0"/>
        <w:spacing w:line="360" w:lineRule="exact"/>
        <w:jc w:val="both"/>
        <w:textAlignment w:val="auto"/>
        <w:rPr>
          <w:rFonts w:hint="default" w:eastAsia="宋体" w:cs="宋体" w:asciiTheme="minorAscii" w:hAnsiTheme="minorAscii"/>
          <w:sz w:val="24"/>
          <w:szCs w:val="24"/>
        </w:rPr>
      </w:pPr>
    </w:p>
    <w:p w14:paraId="03E4C685">
      <w:pPr>
        <w:keepNext w:val="0"/>
        <w:keepLines w:val="0"/>
        <w:pageBreakBefore w:val="0"/>
        <w:widowControl w:val="0"/>
        <w:kinsoku/>
        <w:wordWrap/>
        <w:overflowPunct/>
        <w:topLinePunct w:val="0"/>
        <w:bidi w:val="0"/>
        <w:spacing w:line="800" w:lineRule="exact"/>
        <w:ind w:firstLine="238"/>
        <w:jc w:val="both"/>
        <w:textAlignment w:val="auto"/>
        <w:rPr>
          <w:rFonts w:hint="default" w:eastAsia="宋体" w:cs="宋体" w:asciiTheme="minorAscii" w:hAnsiTheme="minorAscii"/>
          <w:kern w:val="1"/>
          <w:sz w:val="24"/>
          <w:szCs w:val="24"/>
        </w:rPr>
      </w:pPr>
      <w:r>
        <w:rPr>
          <w:rFonts w:hint="default" w:eastAsia="宋体" w:cs="宋体" w:asciiTheme="minorAscii" w:hAnsiTheme="minorAscii"/>
          <w:kern w:val="1"/>
          <w:sz w:val="24"/>
          <w:szCs w:val="24"/>
        </w:rPr>
        <w:t>地  址：</w:t>
      </w:r>
      <w:r>
        <w:rPr>
          <w:rFonts w:hint="default" w:eastAsia="宋体" w:cs="宋体" w:asciiTheme="minorAscii" w:hAnsiTheme="minorAscii"/>
          <w:kern w:val="1"/>
          <w:sz w:val="24"/>
          <w:szCs w:val="24"/>
          <w:u w:val="single"/>
        </w:rPr>
        <w:t xml:space="preserve">                            </w:t>
      </w:r>
      <w:r>
        <w:rPr>
          <w:rFonts w:hint="default" w:eastAsia="宋体" w:cs="宋体" w:asciiTheme="minorAscii" w:hAnsiTheme="minorAscii"/>
          <w:kern w:val="1"/>
          <w:sz w:val="24"/>
          <w:szCs w:val="24"/>
        </w:rPr>
        <w:t xml:space="preserve">    邮编 ：</w:t>
      </w:r>
      <w:r>
        <w:rPr>
          <w:rFonts w:hint="default" w:eastAsia="宋体" w:cs="宋体" w:asciiTheme="minorAscii" w:hAnsiTheme="minorAscii"/>
          <w:kern w:val="1"/>
          <w:sz w:val="24"/>
          <w:szCs w:val="24"/>
          <w:u w:val="single"/>
        </w:rPr>
        <w:t xml:space="preserve">                        </w:t>
      </w:r>
    </w:p>
    <w:p w14:paraId="7032C2CA">
      <w:pPr>
        <w:keepNext w:val="0"/>
        <w:keepLines w:val="0"/>
        <w:pageBreakBefore w:val="0"/>
        <w:widowControl w:val="0"/>
        <w:kinsoku/>
        <w:wordWrap/>
        <w:overflowPunct/>
        <w:topLinePunct w:val="0"/>
        <w:bidi w:val="0"/>
        <w:spacing w:line="800" w:lineRule="exact"/>
        <w:ind w:firstLine="238"/>
        <w:jc w:val="both"/>
        <w:textAlignment w:val="auto"/>
        <w:rPr>
          <w:rFonts w:hint="default" w:eastAsia="宋体" w:cs="宋体" w:asciiTheme="minorAscii" w:hAnsiTheme="minorAscii"/>
          <w:kern w:val="1"/>
          <w:sz w:val="24"/>
          <w:szCs w:val="24"/>
        </w:rPr>
      </w:pPr>
      <w:r>
        <w:rPr>
          <w:rFonts w:hint="default" w:eastAsia="宋体" w:cs="宋体" w:asciiTheme="minorAscii" w:hAnsiTheme="minorAscii"/>
          <w:kern w:val="1"/>
          <w:sz w:val="24"/>
          <w:szCs w:val="24"/>
        </w:rPr>
        <w:t>电  话：</w:t>
      </w:r>
      <w:r>
        <w:rPr>
          <w:rFonts w:hint="default" w:eastAsia="宋体" w:cs="宋体" w:asciiTheme="minorAscii" w:hAnsiTheme="minorAscii"/>
          <w:kern w:val="1"/>
          <w:sz w:val="24"/>
          <w:szCs w:val="24"/>
          <w:u w:val="single"/>
        </w:rPr>
        <w:t xml:space="preserve">                            </w:t>
      </w:r>
      <w:r>
        <w:rPr>
          <w:rFonts w:hint="default" w:eastAsia="宋体" w:cs="宋体" w:asciiTheme="minorAscii" w:hAnsiTheme="minorAscii"/>
          <w:kern w:val="1"/>
          <w:sz w:val="24"/>
          <w:szCs w:val="24"/>
        </w:rPr>
        <w:t xml:space="preserve">    传真： </w:t>
      </w:r>
      <w:r>
        <w:rPr>
          <w:rFonts w:hint="default" w:eastAsia="宋体" w:cs="宋体" w:asciiTheme="minorAscii" w:hAnsiTheme="minorAscii"/>
          <w:kern w:val="1"/>
          <w:sz w:val="24"/>
          <w:szCs w:val="24"/>
          <w:u w:val="single"/>
        </w:rPr>
        <w:t xml:space="preserve">                        </w:t>
      </w:r>
    </w:p>
    <w:p w14:paraId="47D66FE6">
      <w:pPr>
        <w:keepNext w:val="0"/>
        <w:keepLines w:val="0"/>
        <w:pageBreakBefore w:val="0"/>
        <w:widowControl w:val="0"/>
        <w:kinsoku/>
        <w:wordWrap/>
        <w:overflowPunct/>
        <w:topLinePunct w:val="0"/>
        <w:bidi w:val="0"/>
        <w:spacing w:line="800" w:lineRule="exact"/>
        <w:ind w:firstLine="238"/>
        <w:jc w:val="both"/>
        <w:textAlignment w:val="auto"/>
        <w:rPr>
          <w:rFonts w:hint="default" w:eastAsia="宋体" w:cs="宋体" w:asciiTheme="minorAscii" w:hAnsiTheme="minorAscii"/>
          <w:kern w:val="1"/>
          <w:sz w:val="24"/>
          <w:szCs w:val="24"/>
        </w:rPr>
      </w:pPr>
      <w:r>
        <w:rPr>
          <w:rFonts w:hint="default" w:eastAsia="宋体" w:cs="宋体" w:asciiTheme="minorAscii" w:hAnsiTheme="minorAscii"/>
          <w:kern w:val="1"/>
          <w:sz w:val="24"/>
          <w:szCs w:val="24"/>
        </w:rPr>
        <w:t>投标人：</w:t>
      </w:r>
      <w:r>
        <w:rPr>
          <w:rFonts w:hint="default" w:eastAsia="宋体" w:cs="宋体" w:asciiTheme="minorAscii" w:hAnsiTheme="minorAscii"/>
          <w:kern w:val="1"/>
          <w:sz w:val="24"/>
          <w:szCs w:val="24"/>
          <w:u w:val="single"/>
        </w:rPr>
        <w:t xml:space="preserve">               (单位全称、盖章)                                </w:t>
      </w:r>
    </w:p>
    <w:p w14:paraId="7F9A4BF0">
      <w:pPr>
        <w:keepNext w:val="0"/>
        <w:keepLines w:val="0"/>
        <w:pageBreakBefore w:val="0"/>
        <w:widowControl w:val="0"/>
        <w:kinsoku/>
        <w:wordWrap/>
        <w:overflowPunct/>
        <w:topLinePunct w:val="0"/>
        <w:bidi w:val="0"/>
        <w:spacing w:line="800" w:lineRule="exact"/>
        <w:ind w:firstLine="238"/>
        <w:jc w:val="both"/>
        <w:textAlignment w:val="auto"/>
        <w:rPr>
          <w:rFonts w:hint="default" w:eastAsia="宋体" w:cs="宋体" w:asciiTheme="minorAscii" w:hAnsiTheme="minorAscii"/>
          <w:kern w:val="1"/>
          <w:sz w:val="24"/>
          <w:szCs w:val="24"/>
        </w:rPr>
      </w:pPr>
      <w:r>
        <w:rPr>
          <w:rFonts w:hint="default" w:eastAsia="宋体" w:cs="宋体" w:asciiTheme="minorAscii" w:hAnsiTheme="minorAscii"/>
          <w:kern w:val="1"/>
          <w:sz w:val="24"/>
          <w:szCs w:val="24"/>
        </w:rPr>
        <w:t>投标人代表：</w:t>
      </w:r>
      <w:r>
        <w:rPr>
          <w:rFonts w:hint="default" w:eastAsia="宋体" w:cs="宋体" w:asciiTheme="minorAscii" w:hAnsiTheme="minorAscii"/>
          <w:kern w:val="1"/>
          <w:sz w:val="24"/>
          <w:szCs w:val="24"/>
          <w:u w:val="single"/>
        </w:rPr>
        <w:t xml:space="preserve">           (代表人盖章、签字)                              </w:t>
      </w:r>
      <w:r>
        <w:rPr>
          <w:rFonts w:hint="default" w:eastAsia="宋体" w:cs="宋体" w:asciiTheme="minorAscii" w:hAnsiTheme="minorAscii"/>
          <w:kern w:val="1"/>
          <w:sz w:val="24"/>
          <w:szCs w:val="24"/>
        </w:rPr>
        <w:t xml:space="preserve">   </w:t>
      </w:r>
    </w:p>
    <w:p w14:paraId="4723F3B2">
      <w:pPr>
        <w:keepNext w:val="0"/>
        <w:keepLines w:val="0"/>
        <w:pageBreakBefore w:val="0"/>
        <w:widowControl w:val="0"/>
        <w:kinsoku/>
        <w:wordWrap/>
        <w:overflowPunct/>
        <w:topLinePunct w:val="0"/>
        <w:bidi w:val="0"/>
        <w:spacing w:line="800" w:lineRule="exact"/>
        <w:ind w:firstLine="238"/>
        <w:jc w:val="both"/>
        <w:textAlignment w:val="auto"/>
        <w:rPr>
          <w:rFonts w:hint="default" w:eastAsia="宋体" w:cs="宋体" w:asciiTheme="minorAscii" w:hAnsiTheme="minorAscii"/>
          <w:kern w:val="1"/>
          <w:sz w:val="24"/>
          <w:szCs w:val="24"/>
        </w:rPr>
      </w:pPr>
      <w:r>
        <w:rPr>
          <w:rFonts w:hint="default" w:eastAsia="宋体" w:cs="宋体" w:asciiTheme="minorAscii" w:hAnsiTheme="minorAscii"/>
          <w:kern w:val="1"/>
          <w:sz w:val="24"/>
          <w:szCs w:val="24"/>
        </w:rPr>
        <w:t>日  期：</w:t>
      </w:r>
      <w:r>
        <w:rPr>
          <w:rFonts w:hint="default" w:eastAsia="宋体" w:cs="宋体" w:asciiTheme="minorAscii" w:hAnsiTheme="minorAscii"/>
          <w:kern w:val="1"/>
          <w:sz w:val="24"/>
          <w:szCs w:val="24"/>
          <w:u w:val="single"/>
        </w:rPr>
        <w:t xml:space="preserve">      </w:t>
      </w:r>
      <w:r>
        <w:rPr>
          <w:rFonts w:hint="default" w:eastAsia="宋体" w:cs="宋体" w:asciiTheme="minorAscii" w:hAnsiTheme="minorAscii"/>
          <w:kern w:val="1"/>
          <w:sz w:val="24"/>
          <w:szCs w:val="24"/>
        </w:rPr>
        <w:t xml:space="preserve"> 年</w:t>
      </w:r>
      <w:r>
        <w:rPr>
          <w:rFonts w:hint="default" w:eastAsia="宋体" w:cs="宋体" w:asciiTheme="minorAscii" w:hAnsiTheme="minorAscii"/>
          <w:kern w:val="1"/>
          <w:sz w:val="24"/>
          <w:szCs w:val="24"/>
          <w:u w:val="single"/>
        </w:rPr>
        <w:t xml:space="preserve">     </w:t>
      </w:r>
      <w:r>
        <w:rPr>
          <w:rFonts w:hint="default" w:eastAsia="宋体" w:cs="宋体" w:asciiTheme="minorAscii" w:hAnsiTheme="minorAscii"/>
          <w:kern w:val="1"/>
          <w:sz w:val="24"/>
          <w:szCs w:val="24"/>
        </w:rPr>
        <w:t xml:space="preserve"> 月</w:t>
      </w:r>
      <w:r>
        <w:rPr>
          <w:rFonts w:hint="default" w:eastAsia="宋体" w:cs="宋体" w:asciiTheme="minorAscii" w:hAnsiTheme="minorAscii"/>
          <w:kern w:val="1"/>
          <w:sz w:val="24"/>
          <w:szCs w:val="24"/>
          <w:u w:val="single"/>
        </w:rPr>
        <w:t xml:space="preserve">     </w:t>
      </w:r>
      <w:r>
        <w:rPr>
          <w:rFonts w:hint="default" w:eastAsia="宋体" w:cs="宋体" w:asciiTheme="minorAscii" w:hAnsiTheme="minorAscii"/>
          <w:kern w:val="1"/>
          <w:sz w:val="24"/>
          <w:szCs w:val="24"/>
        </w:rPr>
        <w:t>日</w:t>
      </w:r>
    </w:p>
    <w:p w14:paraId="768EEAC5">
      <w:pPr>
        <w:keepNext w:val="0"/>
        <w:keepLines w:val="0"/>
        <w:pageBreakBefore w:val="0"/>
        <w:widowControl w:val="0"/>
        <w:kinsoku/>
        <w:wordWrap/>
        <w:overflowPunct/>
        <w:topLinePunct w:val="0"/>
        <w:bidi w:val="0"/>
        <w:spacing w:line="360" w:lineRule="auto"/>
        <w:ind w:left="413" w:hanging="413"/>
        <w:jc w:val="both"/>
        <w:textAlignment w:val="auto"/>
        <w:rPr>
          <w:rFonts w:hint="default" w:eastAsia="宋体" w:cs="宋体" w:asciiTheme="minorAscii" w:hAnsiTheme="minorAscii"/>
          <w:b/>
          <w:kern w:val="1"/>
          <w:szCs w:val="21"/>
        </w:rPr>
      </w:pPr>
    </w:p>
    <w:p w14:paraId="43A97267">
      <w:pPr>
        <w:keepNext w:val="0"/>
        <w:keepLines w:val="0"/>
        <w:pageBreakBefore w:val="0"/>
        <w:widowControl w:val="0"/>
        <w:kinsoku/>
        <w:wordWrap/>
        <w:overflowPunct/>
        <w:topLinePunct w:val="0"/>
        <w:bidi w:val="0"/>
        <w:spacing w:line="360" w:lineRule="auto"/>
        <w:ind w:left="413" w:hanging="413"/>
        <w:jc w:val="both"/>
        <w:textAlignment w:val="auto"/>
        <w:rPr>
          <w:rFonts w:hint="default" w:eastAsia="宋体" w:cs="宋体" w:asciiTheme="minorAscii" w:hAnsiTheme="minorAscii"/>
          <w:sz w:val="44"/>
          <w:szCs w:val="44"/>
        </w:rPr>
      </w:pPr>
      <w:bookmarkStart w:id="77" w:name="_GoBack"/>
      <w:bookmarkEnd w:id="77"/>
      <w:r>
        <w:rPr>
          <w:rFonts w:hint="default" w:eastAsia="宋体" w:cs="宋体" w:asciiTheme="minorAscii" w:hAnsiTheme="minorAscii"/>
          <w:b/>
          <w:kern w:val="1"/>
          <w:szCs w:val="21"/>
        </w:rPr>
        <w:t xml:space="preserve"> </w:t>
      </w:r>
      <w:r>
        <w:rPr>
          <w:rFonts w:hint="default" w:eastAsia="宋体" w:cs="宋体" w:asciiTheme="minorAscii" w:hAnsiTheme="minorAscii"/>
          <w:b/>
          <w:kern w:val="1"/>
          <w:szCs w:val="28"/>
        </w:rPr>
        <w:t>备注：1、投标价格为本次招标范围所有工程内容的报价总和。</w:t>
      </w:r>
    </w:p>
    <w:p w14:paraId="2565A07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3E9F728D"/>
    <w:rsid w:val="3E9F7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next w:val="4"/>
    <w:qFormat/>
    <w:uiPriority w:val="0"/>
    <w:pPr>
      <w:spacing w:after="120"/>
      <w:ind w:left="420" w:leftChars="200"/>
    </w:pPr>
    <w:rPr>
      <w:rFonts w:eastAsia="宋体"/>
      <w:sz w:val="21"/>
    </w:rPr>
  </w:style>
  <w:style w:type="paragraph" w:styleId="4">
    <w:name w:val="envelope return"/>
    <w:basedOn w:val="1"/>
    <w:qFormat/>
    <w:uiPriority w:val="0"/>
    <w:pPr>
      <w:snapToGrid w:val="0"/>
    </w:pPr>
    <w:rPr>
      <w:rFonts w:ascii="Arial" w:hAnsi="Arial"/>
    </w:rPr>
  </w:style>
  <w:style w:type="paragraph" w:styleId="5">
    <w:name w:val="Body Text"/>
    <w:basedOn w:val="1"/>
    <w:next w:val="6"/>
    <w:qFormat/>
    <w:uiPriority w:val="1"/>
    <w:rPr>
      <w:rFonts w:ascii="宋体" w:hAnsi="宋体" w:cs="宋体"/>
    </w:rPr>
  </w:style>
  <w:style w:type="paragraph" w:customStyle="1" w:styleId="6">
    <w:name w:val="Body Text 21"/>
    <w:qFormat/>
    <w:uiPriority w:val="0"/>
    <w:pPr>
      <w:widowControl w:val="0"/>
      <w:tabs>
        <w:tab w:val="left" w:pos="3261"/>
        <w:tab w:val="left" w:pos="4536"/>
      </w:tabs>
      <w:autoSpaceDE w:val="0"/>
      <w:autoSpaceDN w:val="0"/>
      <w:adjustRightInd w:val="0"/>
      <w:snapToGrid w:val="0"/>
      <w:spacing w:line="360" w:lineRule="auto"/>
      <w:jc w:val="both"/>
    </w:pPr>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2024-10-17T08:03:00Z</dcterms:created>
  <dc:creator>咚东</dc:creator>
  <cp:lastModifiedBy>咚东</cp:lastModifiedBy>
  <dcterms:modified xsi:type="dcterms:W3CDTF">2024-10-17T08:04:33Z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3F8EA650A108431C9D07FDDA8F9196AA_11</vt:lpwstr>
  </property>
</Properties>
</file>